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F6B" w14:textId="3CC4ADB8" w:rsidR="00E53D4E" w:rsidRPr="00550E69" w:rsidRDefault="00D847AD" w:rsidP="00550E69">
      <w:pPr>
        <w:pStyle w:val="H1"/>
        <w:widowControl w:val="0"/>
        <w:spacing w:after="120"/>
        <w:rPr>
          <w:rFonts w:ascii="Aptos" w:hAnsi="Aptos"/>
        </w:rPr>
      </w:pPr>
      <w:r w:rsidRPr="00550E69">
        <w:rPr>
          <w:rFonts w:ascii="Aptos" w:hAnsi="Aptos"/>
          <w:noProof/>
        </w:rPr>
        <w:drawing>
          <wp:inline distT="0" distB="0" distL="0" distR="0" wp14:anchorId="6049393E" wp14:editId="03FCF595">
            <wp:extent cx="4114800" cy="842743"/>
            <wp:effectExtent l="0" t="0" r="0" b="0"/>
            <wp:docPr id="161921913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1913" name="Picture 1" descr="Virginia Department of Education, Office of School and Community Nutrition Program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59EA9" w14:textId="705CEFB1" w:rsidR="00AB1820" w:rsidRPr="00550E69" w:rsidRDefault="0074214D" w:rsidP="00550E69">
      <w:pPr>
        <w:pStyle w:val="H1"/>
        <w:widowControl w:val="0"/>
        <w:spacing w:line="240" w:lineRule="auto"/>
        <w:rPr>
          <w:rFonts w:ascii="Aptos" w:hAnsi="Aptos"/>
        </w:rPr>
      </w:pPr>
      <w:r w:rsidRPr="00550E69">
        <w:rPr>
          <w:rFonts w:ascii="Aptos" w:hAnsi="Aptos"/>
        </w:rPr>
        <w:t>Local School Wellness Policy: Triennial Assessment Tool 2024</w:t>
      </w:r>
    </w:p>
    <w:p w14:paraId="7AF03105" w14:textId="2F33D893" w:rsidR="0074214D" w:rsidRPr="00550E69" w:rsidRDefault="0074214D" w:rsidP="00550E69">
      <w:pPr>
        <w:keepNext/>
        <w:keepLines/>
        <w:widowControl w:val="0"/>
        <w:spacing w:after="0"/>
        <w:rPr>
          <w:rFonts w:ascii="Aptos" w:hAnsi="Aptos"/>
        </w:rPr>
      </w:pPr>
      <w:r w:rsidRPr="00550E69">
        <w:rPr>
          <w:rFonts w:ascii="Aptos" w:hAnsi="Aptos"/>
        </w:rPr>
        <w:t>School Division:</w:t>
      </w:r>
    </w:p>
    <w:sdt>
      <w:sdtPr>
        <w:rPr>
          <w:rFonts w:ascii="Aptos" w:hAnsi="Aptos"/>
        </w:rPr>
        <w:id w:val="-1263609458"/>
        <w:placeholder>
          <w:docPart w:val="DefaultPlaceholder_-1854013440"/>
        </w:placeholder>
        <w:showingPlcHdr/>
      </w:sdtPr>
      <w:sdtEndPr/>
      <w:sdtContent>
        <w:p w14:paraId="7103614A" w14:textId="3F84CDC3" w:rsidR="00AF0060" w:rsidRPr="00550E69" w:rsidRDefault="003C304C" w:rsidP="00550E69">
          <w:pPr>
            <w:keepNext/>
            <w:keepLines/>
            <w:widowControl w:val="0"/>
            <w:spacing w:after="0"/>
            <w:rPr>
              <w:rFonts w:ascii="Aptos" w:hAnsi="Aptos"/>
            </w:rPr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sdtContent>
    </w:sdt>
    <w:p w14:paraId="696D4B68" w14:textId="5BC0C488" w:rsidR="0074214D" w:rsidRPr="00550E69" w:rsidRDefault="0074214D" w:rsidP="00550E69">
      <w:pPr>
        <w:keepNext/>
        <w:keepLines/>
        <w:widowControl w:val="0"/>
        <w:spacing w:before="240" w:after="0"/>
        <w:rPr>
          <w:rFonts w:ascii="Aptos" w:hAnsi="Aptos"/>
        </w:rPr>
      </w:pPr>
      <w:r w:rsidRPr="00550E69">
        <w:rPr>
          <w:rFonts w:ascii="Aptos" w:hAnsi="Aptos"/>
        </w:rPr>
        <w:t>Wellness Policy Contact Name and Email:</w:t>
      </w:r>
    </w:p>
    <w:sdt>
      <w:sdtPr>
        <w:rPr>
          <w:rFonts w:ascii="Aptos" w:hAnsi="Aptos"/>
        </w:rPr>
        <w:id w:val="-587849223"/>
        <w:placeholder>
          <w:docPart w:val="DefaultPlaceholder_-1854013440"/>
        </w:placeholder>
        <w:showingPlcHdr/>
      </w:sdtPr>
      <w:sdtEndPr/>
      <w:sdtContent>
        <w:p w14:paraId="201CBAB4" w14:textId="45125B55" w:rsidR="00AF0060" w:rsidRPr="00550E69" w:rsidRDefault="003C304C" w:rsidP="00550E69">
          <w:pPr>
            <w:keepNext/>
            <w:keepLines/>
            <w:widowControl w:val="0"/>
            <w:spacing w:after="0"/>
            <w:rPr>
              <w:rFonts w:ascii="Aptos" w:hAnsi="Aptos"/>
            </w:rPr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sdtContent>
    </w:sdt>
    <w:p w14:paraId="7BF5B5AF" w14:textId="08212A0B" w:rsidR="0074214D" w:rsidRPr="00550E69" w:rsidRDefault="0074214D" w:rsidP="00550E69">
      <w:pPr>
        <w:keepNext/>
        <w:keepLines/>
        <w:widowControl w:val="0"/>
        <w:spacing w:before="240" w:after="0"/>
        <w:rPr>
          <w:rFonts w:ascii="Aptos" w:hAnsi="Aptos"/>
        </w:rPr>
      </w:pPr>
      <w:r w:rsidRPr="00550E69">
        <w:rPr>
          <w:rFonts w:ascii="Aptos" w:hAnsi="Aptos"/>
        </w:rPr>
        <w:t>Wellness Policy can be found at:</w:t>
      </w:r>
    </w:p>
    <w:sdt>
      <w:sdtPr>
        <w:rPr>
          <w:rFonts w:ascii="Aptos" w:hAnsi="Aptos"/>
        </w:rPr>
        <w:id w:val="-1324963868"/>
        <w:placeholder>
          <w:docPart w:val="DefaultPlaceholder_-1854013440"/>
        </w:placeholder>
        <w:showingPlcHdr/>
      </w:sdtPr>
      <w:sdtEndPr/>
      <w:sdtContent>
        <w:p w14:paraId="108C1EF7" w14:textId="1A6AD0F8" w:rsidR="00AF0060" w:rsidRPr="00550E69" w:rsidRDefault="003C304C" w:rsidP="00550E69">
          <w:pPr>
            <w:keepNext/>
            <w:keepLines/>
            <w:widowControl w:val="0"/>
            <w:spacing w:after="0"/>
            <w:rPr>
              <w:rFonts w:ascii="Aptos" w:hAnsi="Aptos"/>
            </w:rPr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sdtContent>
    </w:sdt>
    <w:p w14:paraId="441E8810" w14:textId="7A1A93D6" w:rsidR="0074214D" w:rsidRPr="00550E69" w:rsidRDefault="0074214D" w:rsidP="00550E69">
      <w:pPr>
        <w:keepNext/>
        <w:keepLines/>
        <w:widowControl w:val="0"/>
        <w:spacing w:before="240" w:after="0"/>
        <w:rPr>
          <w:rFonts w:ascii="Aptos" w:hAnsi="Aptos"/>
        </w:rPr>
      </w:pPr>
      <w:r w:rsidRPr="00550E69">
        <w:rPr>
          <w:rFonts w:ascii="Aptos" w:hAnsi="Aptos"/>
        </w:rPr>
        <w:t>Triennial Assessment can be found at:</w:t>
      </w:r>
    </w:p>
    <w:sdt>
      <w:sdtPr>
        <w:rPr>
          <w:rFonts w:ascii="Aptos" w:hAnsi="Aptos"/>
        </w:rPr>
        <w:id w:val="-1473061333"/>
        <w:placeholder>
          <w:docPart w:val="DefaultPlaceholder_-1854013440"/>
        </w:placeholder>
        <w:showingPlcHdr/>
      </w:sdtPr>
      <w:sdtEndPr/>
      <w:sdtContent>
        <w:p w14:paraId="32F003F7" w14:textId="4A42304E" w:rsidR="00AF0060" w:rsidRPr="00550E69" w:rsidRDefault="003C304C" w:rsidP="00550E69">
          <w:pPr>
            <w:keepNext/>
            <w:keepLines/>
            <w:widowControl w:val="0"/>
            <w:spacing w:after="0"/>
            <w:rPr>
              <w:rFonts w:ascii="Aptos" w:hAnsi="Aptos"/>
            </w:rPr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sdtContent>
    </w:sdt>
    <w:p w14:paraId="53446736" w14:textId="0C419C69" w:rsidR="0074214D" w:rsidRPr="00550E69" w:rsidRDefault="0074214D" w:rsidP="00550E69">
      <w:pPr>
        <w:keepNext/>
        <w:keepLines/>
        <w:widowControl w:val="0"/>
        <w:spacing w:before="480"/>
        <w:rPr>
          <w:rFonts w:ascii="Aptos" w:hAnsi="Aptos"/>
        </w:rPr>
      </w:pPr>
      <w:r w:rsidRPr="00550E69">
        <w:rPr>
          <w:rFonts w:ascii="Aptos" w:hAnsi="Aptos"/>
        </w:rPr>
        <w:t xml:space="preserve">Every three years the divisions must </w:t>
      </w:r>
      <w:r w:rsidR="008A3E69" w:rsidRPr="00550E69">
        <w:rPr>
          <w:rFonts w:ascii="Aptos" w:hAnsi="Aptos"/>
        </w:rPr>
        <w:t>assess</w:t>
      </w:r>
      <w:r w:rsidRPr="00550E69">
        <w:rPr>
          <w:rFonts w:ascii="Aptos" w:hAnsi="Aptos"/>
        </w:rPr>
        <w:t xml:space="preserve"> the Local School Wellness Policy and make it available to the public. That assessment must address:</w:t>
      </w:r>
    </w:p>
    <w:p w14:paraId="41BC1723" w14:textId="120A23BE" w:rsidR="0074214D" w:rsidRPr="00550E69" w:rsidRDefault="0074214D" w:rsidP="00550E69">
      <w:pPr>
        <w:pStyle w:val="ListParagraph"/>
        <w:keepNext/>
        <w:keepLines/>
        <w:widowControl w:val="0"/>
        <w:numPr>
          <w:ilvl w:val="0"/>
          <w:numId w:val="17"/>
        </w:numPr>
        <w:rPr>
          <w:rFonts w:ascii="Aptos" w:hAnsi="Aptos"/>
        </w:rPr>
      </w:pPr>
      <w:r w:rsidRPr="00550E69">
        <w:rPr>
          <w:rFonts w:ascii="Aptos" w:hAnsi="Aptos"/>
        </w:rPr>
        <w:t>compliance with the division Local School Wellness Policy,</w:t>
      </w:r>
    </w:p>
    <w:p w14:paraId="2E93F878" w14:textId="724FAA1D" w:rsidR="0074214D" w:rsidRPr="00550E69" w:rsidRDefault="0074214D" w:rsidP="00550E69">
      <w:pPr>
        <w:pStyle w:val="ListParagraph"/>
        <w:keepNext/>
        <w:keepLines/>
        <w:widowControl w:val="0"/>
        <w:numPr>
          <w:ilvl w:val="0"/>
          <w:numId w:val="17"/>
        </w:numPr>
        <w:rPr>
          <w:rFonts w:ascii="Aptos" w:hAnsi="Aptos"/>
        </w:rPr>
      </w:pPr>
      <w:r w:rsidRPr="00550E69">
        <w:rPr>
          <w:rFonts w:ascii="Aptos" w:hAnsi="Aptos"/>
        </w:rPr>
        <w:t>how the policy compares to the model Wellness Policy, and</w:t>
      </w:r>
    </w:p>
    <w:p w14:paraId="0622F002" w14:textId="68EE0957" w:rsidR="0074214D" w:rsidRPr="00550E69" w:rsidRDefault="0074214D" w:rsidP="00550E69">
      <w:pPr>
        <w:pStyle w:val="ListParagraph"/>
        <w:keepNext/>
        <w:keepLines/>
        <w:widowControl w:val="0"/>
        <w:numPr>
          <w:ilvl w:val="0"/>
          <w:numId w:val="17"/>
        </w:numPr>
        <w:spacing w:after="360"/>
        <w:rPr>
          <w:rFonts w:ascii="Aptos" w:hAnsi="Aptos"/>
        </w:rPr>
      </w:pPr>
      <w:r w:rsidRPr="00550E69">
        <w:rPr>
          <w:rFonts w:ascii="Aptos" w:hAnsi="Aptos"/>
        </w:rPr>
        <w:t>progress made in attaining the goals of the Wellness Policy.</w:t>
      </w:r>
    </w:p>
    <w:p w14:paraId="4A0F9DD1" w14:textId="1C68075C" w:rsidR="0074214D" w:rsidRPr="00550E69" w:rsidRDefault="0074214D" w:rsidP="00550E69">
      <w:pPr>
        <w:keepNext/>
        <w:keepLines/>
        <w:widowControl w:val="0"/>
        <w:spacing w:after="360"/>
        <w:rPr>
          <w:rFonts w:ascii="Aptos" w:hAnsi="Aptos"/>
        </w:rPr>
      </w:pPr>
      <w:r w:rsidRPr="00550E69">
        <w:rPr>
          <w:rFonts w:ascii="Aptos" w:hAnsi="Aptos"/>
        </w:rPr>
        <w:t xml:space="preserve">Please visit the </w:t>
      </w:r>
      <w:hyperlink r:id="rId7" w:history="1">
        <w:r w:rsidRPr="00550E69">
          <w:rPr>
            <w:rStyle w:val="Hyperlink"/>
            <w:rFonts w:ascii="Aptos" w:hAnsi="Aptos"/>
          </w:rPr>
          <w:t>Virginia Department of Education, Office of School and Community Nutrition Programs (VDOE-SCNP) website</w:t>
        </w:r>
      </w:hyperlink>
      <w:r w:rsidRPr="00550E69">
        <w:rPr>
          <w:rFonts w:ascii="Aptos" w:hAnsi="Aptos"/>
        </w:rPr>
        <w:t xml:space="preserve"> for all tools and resources to help you complete your Triennial Assessment.</w:t>
      </w:r>
    </w:p>
    <w:p w14:paraId="66054D70" w14:textId="6010D740" w:rsidR="008C78D7" w:rsidRPr="00550E69" w:rsidRDefault="0074214D" w:rsidP="00550E69">
      <w:pPr>
        <w:keepNext/>
        <w:keepLines/>
        <w:widowControl w:val="0"/>
        <w:rPr>
          <w:rFonts w:ascii="Aptos" w:hAnsi="Aptos"/>
        </w:rPr>
        <w:sectPr w:rsidR="008C78D7" w:rsidRPr="00550E6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50E69">
        <w:rPr>
          <w:rFonts w:ascii="Aptos" w:hAnsi="Aptos"/>
        </w:rPr>
        <w:t xml:space="preserve">When finalized, please forward this Triennial Assessment or a link to </w:t>
      </w:r>
      <w:r w:rsidR="008A3E69">
        <w:rPr>
          <w:rFonts w:ascii="Aptos" w:hAnsi="Aptos"/>
        </w:rPr>
        <w:t xml:space="preserve">your SCNP regional specialist. </w:t>
      </w:r>
    </w:p>
    <w:p w14:paraId="5CB2EFD9" w14:textId="392C042C" w:rsidR="0074214D" w:rsidRPr="00550E69" w:rsidRDefault="0074214D" w:rsidP="00550E69">
      <w:pPr>
        <w:pStyle w:val="H2"/>
        <w:keepNext w:val="0"/>
        <w:keepLines w:val="0"/>
        <w:widowControl w:val="0"/>
        <w:jc w:val="center"/>
        <w:rPr>
          <w:rFonts w:ascii="Aptos" w:hAnsi="Aptos"/>
        </w:rPr>
      </w:pPr>
      <w:r w:rsidRPr="00550E69">
        <w:rPr>
          <w:rFonts w:ascii="Aptos" w:hAnsi="Aptos"/>
        </w:rPr>
        <w:lastRenderedPageBreak/>
        <w:t>Wellness Policy Requirements</w:t>
      </w:r>
    </w:p>
    <w:tbl>
      <w:tblPr>
        <w:tblStyle w:val="PlainTable5"/>
        <w:tblW w:w="12960" w:type="dxa"/>
        <w:tblLook w:val="04A0" w:firstRow="1" w:lastRow="0" w:firstColumn="1" w:lastColumn="0" w:noHBand="0" w:noVBand="1"/>
        <w:tblCaption w:val="Wellness Policy Requirements"/>
        <w:tblDescription w:val="Tool to track how the wellness policy compares to the model policy and action taken towards wellness goals."/>
      </w:tblPr>
      <w:tblGrid>
        <w:gridCol w:w="2245"/>
        <w:gridCol w:w="2969"/>
        <w:gridCol w:w="1265"/>
        <w:gridCol w:w="1258"/>
        <w:gridCol w:w="1348"/>
        <w:gridCol w:w="3875"/>
      </w:tblGrid>
      <w:tr w:rsidR="005B6C12" w:rsidRPr="00550E69" w14:paraId="572EF222" w14:textId="77777777" w:rsidTr="00AF0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dxa"/>
            <w:vAlign w:val="center"/>
          </w:tcPr>
          <w:p w14:paraId="7E8CCBE4" w14:textId="271B901A" w:rsidR="008C78D7" w:rsidRPr="00550E69" w:rsidRDefault="008C78D7" w:rsidP="00550E69">
            <w:pPr>
              <w:widowControl w:val="0"/>
              <w:jc w:val="center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Category</w:t>
            </w:r>
          </w:p>
        </w:tc>
        <w:tc>
          <w:tcPr>
            <w:tcW w:w="2969" w:type="dxa"/>
            <w:vAlign w:val="center"/>
          </w:tcPr>
          <w:p w14:paraId="7A76DB7E" w14:textId="56CD84B9" w:rsidR="008C78D7" w:rsidRPr="00550E69" w:rsidRDefault="008C78D7" w:rsidP="00550E69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Requirement</w:t>
            </w:r>
          </w:p>
        </w:tc>
        <w:tc>
          <w:tcPr>
            <w:tcW w:w="1265" w:type="dxa"/>
            <w:vAlign w:val="center"/>
          </w:tcPr>
          <w:p w14:paraId="3CCF5FBE" w14:textId="7B0BA075" w:rsidR="008C78D7" w:rsidRPr="00550E69" w:rsidRDefault="008C78D7" w:rsidP="00550E69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Fully in place</w:t>
            </w:r>
          </w:p>
        </w:tc>
        <w:tc>
          <w:tcPr>
            <w:tcW w:w="1258" w:type="dxa"/>
            <w:vAlign w:val="center"/>
          </w:tcPr>
          <w:p w14:paraId="7A98D64F" w14:textId="45C9D44F" w:rsidR="008C78D7" w:rsidRPr="00550E69" w:rsidRDefault="008C78D7" w:rsidP="00550E69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Partially in place</w:t>
            </w:r>
          </w:p>
        </w:tc>
        <w:tc>
          <w:tcPr>
            <w:tcW w:w="1348" w:type="dxa"/>
            <w:vAlign w:val="center"/>
          </w:tcPr>
          <w:p w14:paraId="5462902E" w14:textId="7D0BB216" w:rsidR="008C78D7" w:rsidRPr="00550E69" w:rsidRDefault="008C78D7" w:rsidP="00550E69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Not in place</w:t>
            </w:r>
          </w:p>
        </w:tc>
        <w:tc>
          <w:tcPr>
            <w:tcW w:w="3875" w:type="dxa"/>
            <w:vAlign w:val="center"/>
          </w:tcPr>
          <w:p w14:paraId="64421BBC" w14:textId="52B28AD1" w:rsidR="008C78D7" w:rsidRPr="00550E69" w:rsidRDefault="005B6C12" w:rsidP="00550E69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Action Taken Toward Goals</w:t>
            </w:r>
          </w:p>
        </w:tc>
      </w:tr>
      <w:tr w:rsidR="005B6C12" w:rsidRPr="00550E69" w14:paraId="764CB34C" w14:textId="77777777" w:rsidTr="00AF0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3F0BDF57" w14:textId="3E7ED8AF" w:rsidR="008C78D7" w:rsidRPr="00550E69" w:rsidRDefault="008C78D7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Policy Leadership</w:t>
            </w:r>
          </w:p>
        </w:tc>
        <w:tc>
          <w:tcPr>
            <w:tcW w:w="2969" w:type="dxa"/>
            <w:tcBorders>
              <w:top w:val="single" w:sz="4" w:space="0" w:color="7F7F7F" w:themeColor="text1" w:themeTint="80"/>
              <w:left w:val="single" w:sz="2" w:space="0" w:color="44546A" w:themeColor="text2"/>
              <w:right w:val="single" w:sz="2" w:space="0" w:color="44546A" w:themeColor="text2"/>
            </w:tcBorders>
          </w:tcPr>
          <w:p w14:paraId="4583D00A" w14:textId="5EDB9130" w:rsidR="008C78D7" w:rsidRPr="00550E69" w:rsidRDefault="008C78D7" w:rsidP="00550E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Designate the</w:t>
            </w:r>
            <w:r w:rsidR="005B6C12" w:rsidRPr="00550E69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  <w:r w:rsidRPr="00550E69">
              <w:rPr>
                <w:rFonts w:ascii="Aptos" w:hAnsi="Aptos" w:cs="Times New Roman"/>
                <w:sz w:val="22"/>
                <w:szCs w:val="22"/>
              </w:rPr>
              <w:t>position or</w:t>
            </w:r>
            <w:r w:rsidR="005B6C12" w:rsidRPr="00550E69">
              <w:rPr>
                <w:rFonts w:ascii="Aptos" w:hAnsi="Aptos" w:cs="Times New Roman"/>
                <w:sz w:val="22"/>
                <w:szCs w:val="22"/>
              </w:rPr>
              <w:t xml:space="preserve"> c</w:t>
            </w:r>
            <w:r w:rsidRPr="00550E69">
              <w:rPr>
                <w:rFonts w:ascii="Aptos" w:hAnsi="Aptos" w:cs="Times New Roman"/>
                <w:sz w:val="22"/>
                <w:szCs w:val="22"/>
              </w:rPr>
              <w:t>ommittee</w:t>
            </w:r>
            <w:r w:rsidR="005B6C12" w:rsidRPr="00550E69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  <w:r w:rsidRPr="00550E69">
              <w:rPr>
                <w:rFonts w:ascii="Aptos" w:hAnsi="Aptos" w:cs="Times New Roman"/>
                <w:sz w:val="22"/>
                <w:szCs w:val="22"/>
              </w:rPr>
              <w:t>responsible for</w:t>
            </w:r>
            <w:r w:rsidR="005B6C12" w:rsidRPr="00550E69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  <w:r w:rsidRPr="00550E69">
              <w:rPr>
                <w:rFonts w:ascii="Aptos" w:hAnsi="Aptos" w:cs="Times New Roman"/>
                <w:sz w:val="22"/>
                <w:szCs w:val="22"/>
              </w:rPr>
              <w:t>Wellness Policy</w:t>
            </w:r>
            <w:r w:rsidR="005B6C12" w:rsidRPr="00550E69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  <w:r w:rsidRPr="00550E69">
              <w:rPr>
                <w:rFonts w:ascii="Aptos" w:hAnsi="Aptos" w:cs="Times New Roman"/>
                <w:sz w:val="22"/>
                <w:szCs w:val="22"/>
              </w:rPr>
              <w:t>oversight.</w:t>
            </w:r>
          </w:p>
        </w:tc>
        <w:sdt>
          <w:sdtPr>
            <w:rPr>
              <w:rFonts w:ascii="Aptos" w:hAnsi="Aptos" w:cs="Times New Roman"/>
            </w:rPr>
            <w:id w:val="-180136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6CD0FBC0" w14:textId="647E90E7" w:rsidR="008C78D7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40749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2856F913" w14:textId="2C257BAC" w:rsidR="008C78D7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77920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2B9E1F5A" w14:textId="3F7E873A" w:rsidR="008C78D7" w:rsidRPr="00550E69" w:rsidRDefault="00550E69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3657476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top w:val="single" w:sz="4" w:space="0" w:color="7F7F7F" w:themeColor="text1" w:themeTint="80"/>
                  <w:left w:val="single" w:sz="2" w:space="0" w:color="44546A" w:themeColor="text2"/>
                </w:tcBorders>
              </w:tcPr>
              <w:p w14:paraId="6C25842D" w14:textId="10AD63C2" w:rsidR="008C78D7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4D8CF1A2" w14:textId="77777777" w:rsidTr="00AF0060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77875BAC" w14:textId="77B0D85F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Public Involvement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1ED4D96F" w14:textId="3CB78F47" w:rsidR="00AF0060" w:rsidRPr="00550E69" w:rsidRDefault="00AF0060" w:rsidP="00550E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Notify the public of their ability to participate in the development, implementation, and review.</w:t>
            </w:r>
          </w:p>
        </w:tc>
        <w:sdt>
          <w:sdtPr>
            <w:rPr>
              <w:rFonts w:ascii="Aptos" w:hAnsi="Aptos" w:cs="Times New Roman"/>
            </w:rPr>
            <w:id w:val="145096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66A64C37" w14:textId="0C5C0FC0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11563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14C6D278" w14:textId="42D4F85D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37366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2A84FC11" w14:textId="7F48E9CA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786697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4AC6F40A" w14:textId="23523573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028C957C" w14:textId="77777777" w:rsidTr="00AF0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331EB110" w14:textId="3B0DBCFE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School Meals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3B7B8B27" w14:textId="1BE859F4" w:rsidR="00AF0060" w:rsidRPr="00550E69" w:rsidRDefault="00AF0060" w:rsidP="00550E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Serve school meals that follow USDA-FNS meal regulations. (7CFR210.10 and 7CFR220.8)</w:t>
            </w:r>
          </w:p>
        </w:tc>
        <w:sdt>
          <w:sdtPr>
            <w:rPr>
              <w:rFonts w:ascii="Aptos" w:hAnsi="Aptos" w:cs="Times New Roman"/>
            </w:rPr>
            <w:id w:val="-75358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0D9636EE" w14:textId="4D369A93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29379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56C6012E" w14:textId="42D4D171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210738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05282ECF" w14:textId="7973C64C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474262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719880A8" w14:textId="7C1AD06C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29928D4C" w14:textId="77777777" w:rsidTr="00AF0060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664F719D" w14:textId="391C2A26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Foods Sold Outside of School Meals Program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10C67D64" w14:textId="712DC95F" w:rsidR="00AF0060" w:rsidRPr="00550E69" w:rsidRDefault="00AF0060" w:rsidP="00550E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Sell only USDA’s Smart Snacks compliant foods and beverages outside of the school meals program.</w:t>
            </w:r>
          </w:p>
        </w:tc>
        <w:sdt>
          <w:sdtPr>
            <w:rPr>
              <w:rFonts w:ascii="Aptos" w:hAnsi="Aptos" w:cs="Times New Roman"/>
            </w:rPr>
            <w:id w:val="131437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29C51848" w14:textId="2BFEA564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89910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0941496B" w14:textId="631BAE37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49353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28AA3762" w14:textId="37F7595C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2732519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251B7635" w14:textId="350E86F6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3CBA56DF" w14:textId="77777777" w:rsidTr="00AF0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2E01BE5A" w14:textId="0E152081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Foods Provided, Not Sold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13F0447C" w14:textId="13D298A2" w:rsidR="00AF0060" w:rsidRPr="00550E69" w:rsidRDefault="00AF0060" w:rsidP="00550E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Specify division guidelines for foods provided, not sold, including at celebrations, given as rewards, or classroom snacks.</w:t>
            </w:r>
          </w:p>
        </w:tc>
        <w:sdt>
          <w:sdtPr>
            <w:rPr>
              <w:rFonts w:ascii="Aptos" w:hAnsi="Aptos" w:cs="Times New Roman"/>
            </w:rPr>
            <w:id w:val="-180098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03800EF6" w14:textId="5072661A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88264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62CA9289" w14:textId="4FC3E230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1009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10648131" w14:textId="28C9371C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21207586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7ABCEC18" w14:textId="0074959B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00EE4AA3" w14:textId="77777777" w:rsidTr="00AF0060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3D90AB2B" w14:textId="0CC47300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lastRenderedPageBreak/>
              <w:t>Food and Beverage Marketing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305262A2" w14:textId="661EBEBB" w:rsidR="00AF0060" w:rsidRPr="00550E69" w:rsidRDefault="00AF0060" w:rsidP="00550E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Market only products that</w:t>
            </w:r>
          </w:p>
          <w:p w14:paraId="720374B9" w14:textId="33D6E2D9" w:rsidR="00AF0060" w:rsidRPr="00550E69" w:rsidRDefault="00AF0060" w:rsidP="00550E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adhere to the USDA-FNS Smart Snacks rule.</w:t>
            </w:r>
          </w:p>
        </w:tc>
        <w:sdt>
          <w:sdtPr>
            <w:rPr>
              <w:rFonts w:ascii="Aptos" w:hAnsi="Aptos" w:cs="Times New Roman"/>
            </w:rPr>
            <w:id w:val="-114126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09A1D0D3" w14:textId="0ACFE582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86570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1FD4EC9F" w14:textId="64A45BA7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213983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46864B8E" w14:textId="105D150D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5272867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290D5E7B" w14:textId="184D15EF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05667634" w14:textId="77777777" w:rsidTr="00AF0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6AE790E0" w14:textId="35AAB445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Nutrition Education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50ADC81A" w14:textId="655DE596" w:rsidR="00AF0060" w:rsidRPr="00550E69" w:rsidRDefault="00AF0060" w:rsidP="00550E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Include at least one evidence-based goal for nutrition education.</w:t>
            </w:r>
          </w:p>
        </w:tc>
        <w:sdt>
          <w:sdtPr>
            <w:rPr>
              <w:rFonts w:ascii="Aptos" w:hAnsi="Aptos" w:cs="Times New Roman"/>
            </w:rPr>
            <w:id w:val="127289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35E2687C" w14:textId="32E86875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13655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49CF2B1F" w14:textId="18FC27F3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201287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2BB62871" w14:textId="1C9547C8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1337009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063A4B46" w14:textId="56795BA0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71272323" w14:textId="77777777" w:rsidTr="00AF0060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66585765" w14:textId="0180FF5F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Nutrition Promotion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661DA82A" w14:textId="4201BA3D" w:rsidR="00AF0060" w:rsidRPr="00550E69" w:rsidRDefault="00AF0060" w:rsidP="00550E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Include at least one evidence-based goal for nutrition promotion.</w:t>
            </w:r>
          </w:p>
        </w:tc>
        <w:sdt>
          <w:sdtPr>
            <w:rPr>
              <w:rFonts w:ascii="Aptos" w:hAnsi="Aptos" w:cs="Times New Roman"/>
            </w:rPr>
            <w:id w:val="2923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1AC9315F" w14:textId="582B163A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40928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3377C262" w14:textId="08008E02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95964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1468FE46" w14:textId="18549B86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38961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1AEF80A6" w14:textId="02651C67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2E307236" w14:textId="77777777" w:rsidTr="00AF0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766D15B5" w14:textId="60E7E6D4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Physical Education/Activity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51E6C826" w14:textId="3FD206A2" w:rsidR="00AF0060" w:rsidRPr="00550E69" w:rsidRDefault="00AF0060" w:rsidP="00550E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Include at least one evidence-based goal for physical education and/or physical activity.</w:t>
            </w:r>
          </w:p>
        </w:tc>
        <w:sdt>
          <w:sdtPr>
            <w:rPr>
              <w:rFonts w:ascii="Aptos" w:hAnsi="Aptos" w:cs="Times New Roman"/>
            </w:rPr>
            <w:id w:val="58087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1D993C56" w14:textId="3470891F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83791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1AAC839D" w14:textId="5C492707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89025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6741E5BD" w14:textId="7D6B1D4B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4513581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66177D57" w14:textId="248A4383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123E803C" w14:textId="77777777" w:rsidTr="00AF0060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6CEB9211" w14:textId="6E92B5F0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Other Activities that Promote Student Wellness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244F94BB" w14:textId="6D3D920E" w:rsidR="00AF0060" w:rsidRPr="00550E69" w:rsidRDefault="00AF0060" w:rsidP="00550E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Include at least one evidence-based goal for other activities that promote student wellness.</w:t>
            </w:r>
          </w:p>
        </w:tc>
        <w:sdt>
          <w:sdtPr>
            <w:rPr>
              <w:rFonts w:ascii="Aptos" w:hAnsi="Aptos" w:cs="Times New Roman"/>
            </w:rPr>
            <w:id w:val="7039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1C099BD5" w14:textId="2DE0E24B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44137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37AC0250" w14:textId="27562373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74647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5CE178EC" w14:textId="2E9AC234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681089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50E8E8F9" w14:textId="2990C153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0C133CB1" w14:textId="77777777" w:rsidTr="00AF0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0F3AF51B" w14:textId="0F08E1E1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lastRenderedPageBreak/>
              <w:t>Triennial Assessment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63D9CE38" w14:textId="253F9B06" w:rsidR="00AF0060" w:rsidRPr="00550E69" w:rsidRDefault="00AF0060" w:rsidP="00550E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Complete a Triennial Assessment and notify the public.</w:t>
            </w:r>
          </w:p>
        </w:tc>
        <w:sdt>
          <w:sdtPr>
            <w:rPr>
              <w:rFonts w:ascii="Aptos" w:hAnsi="Aptos" w:cs="Times New Roman"/>
            </w:rPr>
            <w:id w:val="-192294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35C92A23" w14:textId="5EB3BF6F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44869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01625ADC" w14:textId="30C3E456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39877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35444ABE" w14:textId="661B7701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290409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17F423EF" w14:textId="15488F96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3E89B356" w14:textId="77777777" w:rsidTr="00AF0060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69DECEAC" w14:textId="4032C7F4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Public Update and Information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23AB810A" w14:textId="36E7B2AF" w:rsidR="00AF0060" w:rsidRPr="00550E69" w:rsidRDefault="00AF0060" w:rsidP="00550E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Specify how the public will be informed about content and implementation.</w:t>
            </w:r>
          </w:p>
        </w:tc>
        <w:sdt>
          <w:sdtPr>
            <w:rPr>
              <w:rFonts w:ascii="Aptos" w:hAnsi="Aptos" w:cs="Times New Roman"/>
            </w:rPr>
            <w:id w:val="-38232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05822D56" w14:textId="7B541F61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38579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6E11E167" w14:textId="6544D3EE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0531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3F013038" w14:textId="1C834FDE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704895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2BA39B4D" w14:textId="618C9263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5F433037" w14:textId="77777777" w:rsidTr="00AF0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2D08314E" w14:textId="088F94D1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Compliant Fundraisers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2E584904" w14:textId="7878E91B" w:rsidR="00AF0060" w:rsidRPr="00550E69" w:rsidRDefault="00AF0060" w:rsidP="00550E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 xml:space="preserve">Permit only USDA-FNS Smart Snacks compliant food and beverage fundraisers. LEAs may choose to allow up to 30 school-sponsored fundraisers per site per school </w:t>
            </w:r>
            <w:r w:rsidR="007D7CE6">
              <w:rPr>
                <w:rFonts w:ascii="Aptos" w:hAnsi="Aptos" w:cs="Times New Roman"/>
                <w:sz w:val="22"/>
                <w:szCs w:val="22"/>
              </w:rPr>
              <w:t>year</w:t>
            </w:r>
            <w:r w:rsidRPr="00550E69">
              <w:rPr>
                <w:rFonts w:ascii="Aptos" w:hAnsi="Aptos" w:cs="Times New Roman"/>
                <w:sz w:val="22"/>
                <w:szCs w:val="22"/>
              </w:rPr>
              <w:t xml:space="preserve"> to be exempt from the Smart Snacks.</w:t>
            </w:r>
          </w:p>
        </w:tc>
        <w:sdt>
          <w:sdtPr>
            <w:rPr>
              <w:rFonts w:ascii="Aptos" w:hAnsi="Aptos" w:cs="Times New Roman"/>
            </w:rPr>
            <w:id w:val="-51985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0BF5E377" w14:textId="1F749938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92777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73240ADE" w14:textId="5726C59F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67024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48C1E128" w14:textId="05783B28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78901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50E794C5" w14:textId="12959D01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261064C1" w14:textId="77777777" w:rsidTr="00AF0060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17751E97" w14:textId="1C9FA0D1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Fundraiser Times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032340DB" w14:textId="3961DC71" w:rsidR="00AF0060" w:rsidRPr="00550E69" w:rsidRDefault="00AF0060" w:rsidP="00550E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Disallow food or beverage fundraisers during meal times.</w:t>
            </w:r>
          </w:p>
        </w:tc>
        <w:sdt>
          <w:sdtPr>
            <w:rPr>
              <w:rFonts w:ascii="Aptos" w:hAnsi="Aptos" w:cs="Times New Roman"/>
            </w:rPr>
            <w:id w:val="22496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7A7BB54C" w14:textId="5732DE3B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85121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76E71719" w14:textId="5584612A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16513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1A6E1FFB" w14:textId="52905908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0259124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0DCDAA71" w14:textId="34C73D74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2DBB2802" w14:textId="77777777" w:rsidTr="00AF0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34BF92E9" w14:textId="14F92D44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lastRenderedPageBreak/>
              <w:t>Fundraiser Designee</w:t>
            </w:r>
          </w:p>
        </w:tc>
        <w:tc>
          <w:tcPr>
            <w:tcW w:w="2969" w:type="dxa"/>
            <w:tcBorders>
              <w:left w:val="single" w:sz="2" w:space="0" w:color="44546A" w:themeColor="text2"/>
              <w:right w:val="single" w:sz="2" w:space="0" w:color="44546A" w:themeColor="text2"/>
            </w:tcBorders>
          </w:tcPr>
          <w:p w14:paraId="0250F5F1" w14:textId="50D00D90" w:rsidR="00AF0060" w:rsidRPr="00550E69" w:rsidRDefault="00AF0060" w:rsidP="00550E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Designate an individual to</w:t>
            </w:r>
          </w:p>
          <w:p w14:paraId="18F9DBC1" w14:textId="22B0C6BD" w:rsidR="00AF0060" w:rsidRPr="00550E69" w:rsidRDefault="00AF0060" w:rsidP="00550E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monitor all food and beverage fundraisers. This</w:t>
            </w:r>
          </w:p>
          <w:p w14:paraId="3473CA37" w14:textId="5E0C08E9" w:rsidR="00AF0060" w:rsidRPr="00550E69" w:rsidRDefault="00AF0060" w:rsidP="00550E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imes New Roman"/>
                <w:sz w:val="22"/>
                <w:szCs w:val="22"/>
              </w:rPr>
            </w:pPr>
            <w:r w:rsidRPr="00550E69">
              <w:rPr>
                <w:rFonts w:ascii="Aptos" w:hAnsi="Aptos" w:cs="Times New Roman"/>
                <w:sz w:val="22"/>
                <w:szCs w:val="22"/>
              </w:rPr>
              <w:t>designee shall not be school nutrition personnel.</w:t>
            </w:r>
          </w:p>
        </w:tc>
        <w:sdt>
          <w:sdtPr>
            <w:rPr>
              <w:rFonts w:ascii="Aptos" w:hAnsi="Aptos" w:cs="Times New Roman"/>
            </w:rPr>
            <w:id w:val="-35356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59216417" w14:textId="18AE8FDE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36241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7109A476" w14:textId="7BD1F0AA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72021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19F74878" w14:textId="400AB2BA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7841132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3EA3D1FA" w14:textId="6EA339C9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76D176E5" w14:textId="77777777" w:rsidTr="00AF0060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19E4BAEB" w14:textId="1F54C1A0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Additional Wellness Goal</w:t>
            </w:r>
          </w:p>
        </w:tc>
        <w:sdt>
          <w:sdtPr>
            <w:rPr>
              <w:rFonts w:ascii="Aptos" w:hAnsi="Aptos" w:cs="Times New Roman"/>
              <w:sz w:val="22"/>
              <w:szCs w:val="22"/>
            </w:rPr>
            <w:id w:val="-21067154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9" w:type="dxa"/>
                <w:tcBorders>
                  <w:left w:val="single" w:sz="2" w:space="0" w:color="44546A" w:themeColor="text2"/>
                  <w:right w:val="single" w:sz="2" w:space="0" w:color="44546A" w:themeColor="text2"/>
                </w:tcBorders>
              </w:tcPr>
              <w:p w14:paraId="76E37EA5" w14:textId="68653567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  <w:sz w:val="22"/>
                    <w:szCs w:val="22"/>
                  </w:rPr>
                </w:pPr>
                <w:r w:rsidRPr="00550E69">
                  <w:rPr>
                    <w:rStyle w:val="PlaceholderText"/>
                    <w:rFonts w:ascii="Aptos" w:hAnsi="Apto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61717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107E6AE8" w14:textId="595BE3F4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62462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5CD7F1D0" w14:textId="35450047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87142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6364A6DB" w14:textId="33286834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091711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276207C9" w14:textId="7F63F430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303494C9" w14:textId="77777777" w:rsidTr="00AF0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0D7AEF3A" w14:textId="305FDB6F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Additional Wellness Goal</w:t>
            </w:r>
          </w:p>
        </w:tc>
        <w:sdt>
          <w:sdtPr>
            <w:rPr>
              <w:rFonts w:ascii="Aptos" w:hAnsi="Aptos" w:cs="Times New Roman"/>
              <w:sz w:val="22"/>
              <w:szCs w:val="22"/>
            </w:rPr>
            <w:id w:val="16665185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9" w:type="dxa"/>
                <w:tcBorders>
                  <w:left w:val="single" w:sz="2" w:space="0" w:color="44546A" w:themeColor="text2"/>
                  <w:right w:val="single" w:sz="2" w:space="0" w:color="44546A" w:themeColor="text2"/>
                </w:tcBorders>
              </w:tcPr>
              <w:p w14:paraId="40383034" w14:textId="362554AD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  <w:sz w:val="22"/>
                    <w:szCs w:val="22"/>
                  </w:rPr>
                </w:pPr>
                <w:r w:rsidRPr="00550E69">
                  <w:rPr>
                    <w:rStyle w:val="PlaceholderText"/>
                    <w:rFonts w:ascii="Aptos" w:hAnsi="Apto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71179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469E1434" w14:textId="545F0B1F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2068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3979FC83" w14:textId="5D3A8A03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8830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17D8FD77" w14:textId="29CD888E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534269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7A8089D4" w14:textId="175735AD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2BE68EFC" w14:textId="77777777" w:rsidTr="00AF0060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46CAA3C0" w14:textId="65AEA564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Additional Wellness Goal</w:t>
            </w:r>
          </w:p>
        </w:tc>
        <w:sdt>
          <w:sdtPr>
            <w:rPr>
              <w:rFonts w:ascii="Aptos" w:hAnsi="Aptos" w:cs="Times New Roman"/>
              <w:sz w:val="22"/>
              <w:szCs w:val="22"/>
            </w:rPr>
            <w:id w:val="13479800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9" w:type="dxa"/>
                <w:tcBorders>
                  <w:left w:val="single" w:sz="2" w:space="0" w:color="44546A" w:themeColor="text2"/>
                  <w:right w:val="single" w:sz="2" w:space="0" w:color="44546A" w:themeColor="text2"/>
                </w:tcBorders>
              </w:tcPr>
              <w:p w14:paraId="66F8E7F8" w14:textId="180F29B9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  <w:sz w:val="22"/>
                    <w:szCs w:val="22"/>
                  </w:rPr>
                </w:pPr>
                <w:r w:rsidRPr="00550E69">
                  <w:rPr>
                    <w:rStyle w:val="PlaceholderText"/>
                    <w:rFonts w:ascii="Aptos" w:hAnsi="Apto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59883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75E81285" w14:textId="3B5FF5FE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27235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631B7B11" w14:textId="6B6CD66E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96495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304D13AB" w14:textId="496B2CE7" w:rsidR="00AF0060" w:rsidRPr="00550E69" w:rsidRDefault="00AF0060" w:rsidP="00550E69">
                <w:pPr>
                  <w:widowControl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1750771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17F84E75" w14:textId="635DADCB" w:rsidR="00AF0060" w:rsidRPr="00550E69" w:rsidRDefault="00AF0060" w:rsidP="00550E69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F0060" w:rsidRPr="00550E69" w14:paraId="64D45804" w14:textId="77777777" w:rsidTr="00AF0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right w:val="single" w:sz="2" w:space="0" w:color="44546A" w:themeColor="text2"/>
            </w:tcBorders>
          </w:tcPr>
          <w:p w14:paraId="339CEC5F" w14:textId="26A1EF7F" w:rsidR="00AF0060" w:rsidRPr="00550E69" w:rsidRDefault="00AF0060" w:rsidP="00550E69">
            <w:pPr>
              <w:widowControl w:val="0"/>
              <w:rPr>
                <w:rFonts w:ascii="Aptos" w:hAnsi="Aptos" w:cs="Times New Roman"/>
                <w:b/>
                <w:bCs/>
              </w:rPr>
            </w:pPr>
            <w:r w:rsidRPr="00550E69">
              <w:rPr>
                <w:rFonts w:ascii="Aptos" w:hAnsi="Aptos" w:cs="Times New Roman"/>
                <w:b/>
                <w:bCs/>
                <w:i w:val="0"/>
                <w:iCs w:val="0"/>
                <w:sz w:val="24"/>
              </w:rPr>
              <w:t>Additional Wellness Goal</w:t>
            </w:r>
          </w:p>
        </w:tc>
        <w:sdt>
          <w:sdtPr>
            <w:rPr>
              <w:rFonts w:ascii="Aptos" w:hAnsi="Aptos" w:cs="Times New Roman"/>
              <w:sz w:val="22"/>
              <w:szCs w:val="22"/>
            </w:rPr>
            <w:id w:val="17781384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9" w:type="dxa"/>
                <w:tcBorders>
                  <w:left w:val="single" w:sz="2" w:space="0" w:color="44546A" w:themeColor="text2"/>
                  <w:right w:val="single" w:sz="2" w:space="0" w:color="44546A" w:themeColor="text2"/>
                </w:tcBorders>
              </w:tcPr>
              <w:p w14:paraId="2624D653" w14:textId="5FC651B1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  <w:sz w:val="22"/>
                    <w:szCs w:val="22"/>
                  </w:rPr>
                </w:pPr>
                <w:r w:rsidRPr="00550E69">
                  <w:rPr>
                    <w:rStyle w:val="PlaceholderText"/>
                    <w:rFonts w:ascii="Aptos" w:hAnsi="Apto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-100320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left w:val="single" w:sz="2" w:space="0" w:color="44546A" w:themeColor="text2"/>
                </w:tcBorders>
                <w:vAlign w:val="center"/>
              </w:tcPr>
              <w:p w14:paraId="6E3EF183" w14:textId="5A9D222A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195914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14:paraId="7FC413BD" w14:textId="59349A38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28679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tcBorders>
                  <w:right w:val="single" w:sz="2" w:space="0" w:color="44546A" w:themeColor="text2"/>
                </w:tcBorders>
                <w:vAlign w:val="center"/>
              </w:tcPr>
              <w:p w14:paraId="20364242" w14:textId="520D44F0" w:rsidR="00AF0060" w:rsidRPr="00550E69" w:rsidRDefault="00AF0060" w:rsidP="00550E69">
                <w:pPr>
                  <w:widowControl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Fonts w:ascii="Aptos" w:eastAsia="MS Gothic" w:hAnsi="Aptos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Times New Roman"/>
            </w:rPr>
            <w:id w:val="2975741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5" w:type="dxa"/>
                <w:tcBorders>
                  <w:left w:val="single" w:sz="2" w:space="0" w:color="44546A" w:themeColor="text2"/>
                </w:tcBorders>
              </w:tcPr>
              <w:p w14:paraId="5C98968C" w14:textId="145681AD" w:rsidR="00AF0060" w:rsidRPr="00550E69" w:rsidRDefault="00AF0060" w:rsidP="00550E69">
                <w:pPr>
                  <w:widowControl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hAnsi="Aptos" w:cs="Times New Roman"/>
                  </w:rPr>
                </w:pPr>
                <w:r w:rsidRPr="00550E69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2D6D9309" w14:textId="77777777" w:rsidR="00AF0060" w:rsidRPr="00550E69" w:rsidRDefault="00AF0060" w:rsidP="00550E69">
      <w:pPr>
        <w:widowControl w:val="0"/>
        <w:rPr>
          <w:rFonts w:ascii="Aptos" w:hAnsi="Aptos"/>
        </w:rPr>
        <w:sectPr w:rsidR="00AF0060" w:rsidRPr="00550E69" w:rsidSect="008C78D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4266E93" w14:textId="7A08E405" w:rsidR="0074214D" w:rsidRPr="00550E69" w:rsidRDefault="00AF0060" w:rsidP="00550E69">
      <w:pPr>
        <w:widowControl w:val="0"/>
        <w:spacing w:after="0"/>
        <w:rPr>
          <w:rFonts w:ascii="Aptos" w:hAnsi="Aptos"/>
        </w:rPr>
      </w:pPr>
      <w:r w:rsidRPr="00550E69">
        <w:rPr>
          <w:rFonts w:ascii="Aptos" w:hAnsi="Aptos"/>
        </w:rPr>
        <w:lastRenderedPageBreak/>
        <w:t>Additional Notes:</w:t>
      </w:r>
    </w:p>
    <w:sdt>
      <w:sdtPr>
        <w:rPr>
          <w:rFonts w:ascii="Aptos" w:hAnsi="Aptos"/>
        </w:rPr>
        <w:id w:val="-1802072108"/>
        <w:placeholder>
          <w:docPart w:val="DefaultPlaceholder_-1854013440"/>
        </w:placeholder>
        <w:showingPlcHdr/>
      </w:sdtPr>
      <w:sdtEndPr/>
      <w:sdtContent>
        <w:p w14:paraId="18908A64" w14:textId="50F870AB" w:rsidR="00AF0060" w:rsidRPr="00550E69" w:rsidRDefault="00AF0060" w:rsidP="00550E69">
          <w:pPr>
            <w:keepNext/>
            <w:keepLines/>
            <w:widowControl w:val="0"/>
            <w:spacing w:after="240"/>
            <w:rPr>
              <w:rFonts w:ascii="Aptos" w:hAnsi="Aptos"/>
            </w:rPr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sdtContent>
    </w:sdt>
    <w:p w14:paraId="76F53452" w14:textId="141B3514" w:rsidR="00AF0060" w:rsidRPr="00550E69" w:rsidRDefault="00AF0060" w:rsidP="00550E69">
      <w:pPr>
        <w:keepNext/>
        <w:keepLines/>
        <w:widowControl w:val="0"/>
        <w:spacing w:after="0"/>
        <w:rPr>
          <w:rFonts w:ascii="Aptos" w:hAnsi="Aptos"/>
        </w:rPr>
      </w:pPr>
      <w:r w:rsidRPr="00550E69">
        <w:rPr>
          <w:rFonts w:ascii="Aptos" w:hAnsi="Aptos"/>
        </w:rPr>
        <w:t>How does your policy compare to the model policy?</w:t>
      </w:r>
    </w:p>
    <w:sdt>
      <w:sdtPr>
        <w:rPr>
          <w:rFonts w:ascii="Aptos" w:hAnsi="Aptos"/>
        </w:rPr>
        <w:id w:val="-1736782189"/>
        <w:placeholder>
          <w:docPart w:val="DefaultPlaceholder_-1854013440"/>
        </w:placeholder>
        <w:showingPlcHdr/>
      </w:sdtPr>
      <w:sdtEndPr/>
      <w:sdtContent>
        <w:p w14:paraId="77A62B60" w14:textId="20E9A808" w:rsidR="00AF0060" w:rsidRPr="00550E69" w:rsidRDefault="00AF0060" w:rsidP="00550E69">
          <w:pPr>
            <w:keepNext/>
            <w:keepLines/>
            <w:widowControl w:val="0"/>
            <w:spacing w:after="240"/>
            <w:rPr>
              <w:rFonts w:ascii="Aptos" w:hAnsi="Aptos"/>
            </w:rPr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sdtContent>
    </w:sdt>
    <w:p w14:paraId="30AF3BB6" w14:textId="7A7FB255" w:rsidR="00AF0060" w:rsidRPr="00550E69" w:rsidRDefault="00AF0060" w:rsidP="00550E69">
      <w:pPr>
        <w:keepNext/>
        <w:keepLines/>
        <w:widowControl w:val="0"/>
        <w:spacing w:after="0"/>
        <w:rPr>
          <w:rFonts w:ascii="Aptos" w:hAnsi="Aptos"/>
        </w:rPr>
      </w:pPr>
      <w:r w:rsidRPr="00550E69">
        <w:rPr>
          <w:rFonts w:ascii="Aptos" w:hAnsi="Aptos"/>
        </w:rPr>
        <w:t>Note progress made towards wellness goals:</w:t>
      </w:r>
    </w:p>
    <w:sdt>
      <w:sdtPr>
        <w:rPr>
          <w:rFonts w:ascii="Aptos" w:hAnsi="Aptos"/>
        </w:rPr>
        <w:id w:val="-633640667"/>
        <w:placeholder>
          <w:docPart w:val="DefaultPlaceholder_-1854013440"/>
        </w:placeholder>
        <w:showingPlcHdr/>
      </w:sdtPr>
      <w:sdtEndPr/>
      <w:sdtContent>
        <w:p w14:paraId="7A517421" w14:textId="0448F25C" w:rsidR="00AF0060" w:rsidRPr="00550E69" w:rsidRDefault="00AF0060" w:rsidP="00550E69">
          <w:pPr>
            <w:keepNext/>
            <w:keepLines/>
            <w:widowControl w:val="0"/>
            <w:rPr>
              <w:rFonts w:ascii="Aptos" w:hAnsi="Aptos"/>
            </w:rPr>
          </w:pPr>
          <w:r w:rsidRPr="00550E69">
            <w:rPr>
              <w:rStyle w:val="PlaceholderText"/>
              <w:rFonts w:ascii="Aptos" w:hAnsi="Aptos"/>
            </w:rPr>
            <w:t>Click or tap here to enter text.</w:t>
          </w:r>
        </w:p>
      </w:sdtContent>
    </w:sdt>
    <w:sectPr w:rsidR="00AF0060" w:rsidRPr="00550E69" w:rsidSect="00AF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33885"/>
    <w:multiLevelType w:val="hybridMultilevel"/>
    <w:tmpl w:val="F1D8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9591176">
    <w:abstractNumId w:val="15"/>
  </w:num>
  <w:num w:numId="2" w16cid:durableId="1456177033">
    <w:abstractNumId w:val="14"/>
  </w:num>
  <w:num w:numId="3" w16cid:durableId="726076997">
    <w:abstractNumId w:val="13"/>
  </w:num>
  <w:num w:numId="4" w16cid:durableId="1976833314">
    <w:abstractNumId w:val="9"/>
  </w:num>
  <w:num w:numId="5" w16cid:durableId="2022394293">
    <w:abstractNumId w:val="8"/>
  </w:num>
  <w:num w:numId="6" w16cid:durableId="1269968443">
    <w:abstractNumId w:val="7"/>
  </w:num>
  <w:num w:numId="7" w16cid:durableId="1857428516">
    <w:abstractNumId w:val="6"/>
  </w:num>
  <w:num w:numId="8" w16cid:durableId="285041131">
    <w:abstractNumId w:val="5"/>
  </w:num>
  <w:num w:numId="9" w16cid:durableId="1175074521">
    <w:abstractNumId w:val="4"/>
  </w:num>
  <w:num w:numId="10" w16cid:durableId="1097099854">
    <w:abstractNumId w:val="3"/>
  </w:num>
  <w:num w:numId="11" w16cid:durableId="1596549716">
    <w:abstractNumId w:val="2"/>
  </w:num>
  <w:num w:numId="12" w16cid:durableId="329523794">
    <w:abstractNumId w:val="1"/>
  </w:num>
  <w:num w:numId="13" w16cid:durableId="655768861">
    <w:abstractNumId w:val="0"/>
  </w:num>
  <w:num w:numId="14" w16cid:durableId="532621834">
    <w:abstractNumId w:val="10"/>
  </w:num>
  <w:num w:numId="15" w16cid:durableId="355543454">
    <w:abstractNumId w:val="12"/>
  </w:num>
  <w:num w:numId="16" w16cid:durableId="838736674">
    <w:abstractNumId w:val="16"/>
  </w:num>
  <w:num w:numId="17" w16cid:durableId="706880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45ECA"/>
    <w:rsid w:val="00060DC6"/>
    <w:rsid w:val="00085B2F"/>
    <w:rsid w:val="000F44EF"/>
    <w:rsid w:val="001401ED"/>
    <w:rsid w:val="00160938"/>
    <w:rsid w:val="001A76E8"/>
    <w:rsid w:val="001D083B"/>
    <w:rsid w:val="001F5385"/>
    <w:rsid w:val="002675CC"/>
    <w:rsid w:val="002760FF"/>
    <w:rsid w:val="002847ED"/>
    <w:rsid w:val="002E4000"/>
    <w:rsid w:val="003C304C"/>
    <w:rsid w:val="00456171"/>
    <w:rsid w:val="004737C0"/>
    <w:rsid w:val="00477193"/>
    <w:rsid w:val="00480AC3"/>
    <w:rsid w:val="004D39C1"/>
    <w:rsid w:val="00550E69"/>
    <w:rsid w:val="005B6C12"/>
    <w:rsid w:val="0065217A"/>
    <w:rsid w:val="006C5F3F"/>
    <w:rsid w:val="006E3D28"/>
    <w:rsid w:val="007039F8"/>
    <w:rsid w:val="0074214D"/>
    <w:rsid w:val="007716EB"/>
    <w:rsid w:val="007D7CE6"/>
    <w:rsid w:val="007F191A"/>
    <w:rsid w:val="008A3E69"/>
    <w:rsid w:val="008B29EA"/>
    <w:rsid w:val="008C78D7"/>
    <w:rsid w:val="008E6AF1"/>
    <w:rsid w:val="00906197"/>
    <w:rsid w:val="009129BB"/>
    <w:rsid w:val="009274DA"/>
    <w:rsid w:val="009A47AF"/>
    <w:rsid w:val="009D0C8E"/>
    <w:rsid w:val="009D2D4C"/>
    <w:rsid w:val="00A55EB7"/>
    <w:rsid w:val="00AB1820"/>
    <w:rsid w:val="00AD701B"/>
    <w:rsid w:val="00AE55AD"/>
    <w:rsid w:val="00AF0060"/>
    <w:rsid w:val="00B964EE"/>
    <w:rsid w:val="00BA5339"/>
    <w:rsid w:val="00C60D08"/>
    <w:rsid w:val="00C66776"/>
    <w:rsid w:val="00C87156"/>
    <w:rsid w:val="00CF51CB"/>
    <w:rsid w:val="00D3454B"/>
    <w:rsid w:val="00D847AD"/>
    <w:rsid w:val="00E53D4E"/>
    <w:rsid w:val="00E908E3"/>
    <w:rsid w:val="00EE5B7F"/>
    <w:rsid w:val="00EE7A70"/>
    <w:rsid w:val="00EF3DDB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C0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4737C0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4737C0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4737C0"/>
    <w:pPr>
      <w:spacing w:before="0" w:after="480"/>
      <w:jc w:val="center"/>
    </w:pPr>
    <w:rPr>
      <w:rFonts w:ascii="Times New Roman" w:hAnsi="Times New Roman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4737C0"/>
    <w:pPr>
      <w:spacing w:before="240" w:after="240"/>
    </w:pPr>
    <w:rPr>
      <w:rFonts w:ascii="Times New Roman" w:hAnsi="Times New Roman"/>
      <w:b/>
      <w:color w:val="auto"/>
      <w:sz w:val="32"/>
    </w:rPr>
  </w:style>
  <w:style w:type="paragraph" w:customStyle="1" w:styleId="H3">
    <w:name w:val="H3"/>
    <w:basedOn w:val="Heading3"/>
    <w:qFormat/>
    <w:rsid w:val="004737C0"/>
    <w:pPr>
      <w:spacing w:before="240" w:after="240"/>
    </w:pPr>
    <w:rPr>
      <w:rFonts w:ascii="Times New Roman" w:hAnsi="Times New Roman"/>
      <w:b/>
      <w:color w:val="auto"/>
      <w:sz w:val="28"/>
    </w:rPr>
  </w:style>
  <w:style w:type="paragraph" w:customStyle="1" w:styleId="H4">
    <w:name w:val="H4"/>
    <w:basedOn w:val="Heading4"/>
    <w:qFormat/>
    <w:rsid w:val="004737C0"/>
    <w:pPr>
      <w:spacing w:before="240" w:after="240"/>
    </w:pPr>
    <w:rPr>
      <w:rFonts w:ascii="Times New Roman" w:hAnsi="Times New Roman"/>
      <w:b/>
      <w:i w:val="0"/>
      <w:color w:val="auto"/>
    </w:rPr>
  </w:style>
  <w:style w:type="paragraph" w:customStyle="1" w:styleId="H5">
    <w:name w:val="H5"/>
    <w:basedOn w:val="Heading5"/>
    <w:qFormat/>
    <w:rsid w:val="004737C0"/>
    <w:pPr>
      <w:spacing w:before="240" w:after="240"/>
    </w:pPr>
    <w:rPr>
      <w:rFonts w:ascii="Times New Roman" w:hAnsi="Times New Roman"/>
      <w:b/>
      <w:i/>
      <w:color w:val="auto"/>
    </w:rPr>
  </w:style>
  <w:style w:type="paragraph" w:customStyle="1" w:styleId="H6">
    <w:name w:val="H6"/>
    <w:basedOn w:val="Heading6"/>
    <w:qFormat/>
    <w:rsid w:val="004737C0"/>
    <w:pPr>
      <w:spacing w:before="240" w:after="240"/>
    </w:pPr>
    <w:rPr>
      <w:rFonts w:ascii="Times New Roman" w:hAnsi="Times New Roman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rsid w:val="007421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1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78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B6C1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5B6C1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5B6C1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F00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e.virginia.gov/programs-services/school-operations-support-services/school-nutrition/training-resour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864B-C9FA-4CA1-9F18-DC0A30CDF1DA}"/>
      </w:docPartPr>
      <w:docPartBody>
        <w:p w:rsidR="00F66137" w:rsidRDefault="00F66137">
          <w:r w:rsidRPr="00CA5C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37"/>
    <w:rsid w:val="001D083B"/>
    <w:rsid w:val="002760FF"/>
    <w:rsid w:val="00C66776"/>
    <w:rsid w:val="00F6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13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5D47-CB90-4986-AAD8-952FB5A6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School Wellness Policy: Triennial Assessment Tool</vt:lpstr>
    </vt:vector>
  </TitlesOfParts>
  <Company>Virginia IT Infrastructure Partnership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School Wellness Policy: Triennial Assessment Tool</dc:title>
  <dc:subject/>
  <dc:creator>DOE - NUTRITION (DOE)</dc:creator>
  <cp:keywords/>
  <dc:description/>
  <cp:lastModifiedBy>Harbin, Katy (DOE)</cp:lastModifiedBy>
  <cp:revision>3</cp:revision>
  <cp:lastPrinted>2024-03-28T19:28:00Z</cp:lastPrinted>
  <dcterms:created xsi:type="dcterms:W3CDTF">2025-07-24T14:50:00Z</dcterms:created>
  <dcterms:modified xsi:type="dcterms:W3CDTF">2025-07-24T14:51:00Z</dcterms:modified>
</cp:coreProperties>
</file>