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FB5C" w14:textId="77777777" w:rsidR="000E51EC" w:rsidRDefault="00B57067">
      <w:r>
        <w:rPr>
          <w:noProof/>
        </w:rPr>
        <mc:AlternateContent>
          <mc:Choice Requires="wps">
            <w:drawing>
              <wp:anchor distT="0" distB="0" distL="0" distR="0" simplePos="0" relativeHeight="251658240" behindDoc="1" locked="0" layoutInCell="1" hidden="0" allowOverlap="1" wp14:anchorId="607CB4FF" wp14:editId="2B38954C">
                <wp:simplePos x="0" y="0"/>
                <wp:positionH relativeFrom="page">
                  <wp:posOffset>-68261</wp:posOffset>
                </wp:positionH>
                <wp:positionV relativeFrom="page">
                  <wp:posOffset>-80961</wp:posOffset>
                </wp:positionV>
                <wp:extent cx="7985125" cy="9707780"/>
                <wp:effectExtent l="0" t="0" r="0" b="0"/>
                <wp:wrapNone/>
                <wp:docPr id="467" name="Rectangle 467"/>
                <wp:cNvGraphicFramePr/>
                <a:graphic xmlns:a="http://schemas.openxmlformats.org/drawingml/2006/main">
                  <a:graphicData uri="http://schemas.microsoft.com/office/word/2010/wordprocessingShape">
                    <wps:wsp>
                      <wps:cNvSpPr/>
                      <wps:spPr>
                        <a:xfrm>
                          <a:off x="1358200" y="0"/>
                          <a:ext cx="7975600" cy="7560000"/>
                        </a:xfrm>
                        <a:prstGeom prst="rect">
                          <a:avLst/>
                        </a:prstGeom>
                        <a:gradFill>
                          <a:gsLst>
                            <a:gs pos="0">
                              <a:srgbClr val="102B50"/>
                            </a:gs>
                            <a:gs pos="100000">
                              <a:srgbClr val="003B71"/>
                            </a:gs>
                          </a:gsLst>
                          <a:path path="circle">
                            <a:fillToRect l="100000" t="100000"/>
                          </a:path>
                          <a:tileRect r="-100000" b="-100000"/>
                        </a:gradFill>
                        <a:ln>
                          <a:noFill/>
                        </a:ln>
                      </wps:spPr>
                      <wps:txbx>
                        <w:txbxContent>
                          <w:p w14:paraId="778805FB" w14:textId="77777777" w:rsidR="000E51EC" w:rsidRDefault="000E51EC">
                            <w:pPr>
                              <w:jc w:val="center"/>
                              <w:textDirection w:val="btLr"/>
                            </w:pPr>
                          </w:p>
                          <w:p w14:paraId="385A60D3" w14:textId="77777777" w:rsidR="000E51EC" w:rsidRDefault="000E51EC">
                            <w:pPr>
                              <w:jc w:val="center"/>
                              <w:textDirection w:val="btLr"/>
                            </w:pPr>
                          </w:p>
                          <w:p w14:paraId="7E415531" w14:textId="77777777" w:rsidR="000E51EC" w:rsidRDefault="000E51EC">
                            <w:pPr>
                              <w:jc w:val="center"/>
                              <w:textDirection w:val="btLr"/>
                            </w:pPr>
                          </w:p>
                          <w:p w14:paraId="2B6E3123" w14:textId="77777777" w:rsidR="000E51EC" w:rsidRDefault="000E51EC">
                            <w:pPr>
                              <w:jc w:val="center"/>
                              <w:textDirection w:val="btLr"/>
                            </w:pPr>
                          </w:p>
                          <w:p w14:paraId="3D5FDAC4" w14:textId="77777777" w:rsidR="000E51EC" w:rsidRDefault="000E51EC">
                            <w:pPr>
                              <w:jc w:val="center"/>
                              <w:textDirection w:val="btLr"/>
                            </w:pPr>
                          </w:p>
                          <w:p w14:paraId="21585CE2" w14:textId="77777777" w:rsidR="000E51EC" w:rsidRDefault="000E51EC">
                            <w:pPr>
                              <w:jc w:val="center"/>
                              <w:textDirection w:val="btLr"/>
                            </w:pPr>
                          </w:p>
                          <w:p w14:paraId="55F00F1C" w14:textId="2415ABBC" w:rsidR="000E51EC" w:rsidRDefault="00B57067">
                            <w:pPr>
                              <w:jc w:val="center"/>
                              <w:textDirection w:val="btLr"/>
                            </w:pPr>
                            <w:r>
                              <w:rPr>
                                <w:b/>
                                <w:color w:val="000000"/>
                                <w:sz w:val="72"/>
                              </w:rPr>
                              <w:t>GUIDELINES FOR IMPLEMENTING NEW APPROPRIATION ACT PROVISIONS FOR LITERARY FUND SCHOOL CONSTRUCTION LOANS IN THE 202</w:t>
                            </w:r>
                            <w:r w:rsidR="00D914D7">
                              <w:rPr>
                                <w:b/>
                                <w:color w:val="000000"/>
                                <w:sz w:val="72"/>
                              </w:rPr>
                              <w:t>4</w:t>
                            </w:r>
                            <w:r>
                              <w:rPr>
                                <w:b/>
                                <w:color w:val="000000"/>
                                <w:sz w:val="72"/>
                              </w:rPr>
                              <w:t>-202</w:t>
                            </w:r>
                            <w:r w:rsidR="00D914D7">
                              <w:rPr>
                                <w:b/>
                                <w:color w:val="000000"/>
                                <w:sz w:val="72"/>
                              </w:rPr>
                              <w:t>6</w:t>
                            </w:r>
                            <w:r>
                              <w:rPr>
                                <w:b/>
                                <w:color w:val="000000"/>
                                <w:sz w:val="72"/>
                              </w:rPr>
                              <w:t xml:space="preserve"> BIENNIUM</w:t>
                            </w:r>
                          </w:p>
                          <w:p w14:paraId="75808A2C" w14:textId="77777777" w:rsidR="000E51EC" w:rsidRDefault="000E51EC">
                            <w:pPr>
                              <w:jc w:val="center"/>
                              <w:textDirection w:val="btLr"/>
                            </w:pPr>
                          </w:p>
                          <w:p w14:paraId="5F41B47E" w14:textId="55252CE3" w:rsidR="000E51EC" w:rsidRDefault="00B57067">
                            <w:pPr>
                              <w:jc w:val="center"/>
                              <w:textDirection w:val="btLr"/>
                            </w:pPr>
                            <w:r>
                              <w:rPr>
                                <w:color w:val="000000"/>
                                <w:sz w:val="36"/>
                              </w:rPr>
                              <w:t>PURSUANT TO ITEM 1</w:t>
                            </w:r>
                            <w:r w:rsidR="00D914D7">
                              <w:rPr>
                                <w:color w:val="000000"/>
                                <w:sz w:val="36"/>
                              </w:rPr>
                              <w:t>25</w:t>
                            </w:r>
                            <w:r>
                              <w:rPr>
                                <w:color w:val="000000"/>
                                <w:sz w:val="36"/>
                              </w:rPr>
                              <w:t>, PARAGRAPH C.1</w:t>
                            </w:r>
                            <w:r w:rsidR="00D914D7">
                              <w:rPr>
                                <w:color w:val="000000"/>
                                <w:sz w:val="36"/>
                              </w:rPr>
                              <w:t>3</w:t>
                            </w:r>
                            <w:r>
                              <w:rPr>
                                <w:color w:val="000000"/>
                                <w:sz w:val="36"/>
                              </w:rPr>
                              <w:t>.,</w:t>
                            </w:r>
                          </w:p>
                          <w:p w14:paraId="76B61F03" w14:textId="10FAE5C9" w:rsidR="000E51EC" w:rsidRDefault="00B57067">
                            <w:pPr>
                              <w:jc w:val="center"/>
                              <w:textDirection w:val="btLr"/>
                            </w:pPr>
                            <w:r>
                              <w:rPr>
                                <w:color w:val="000000"/>
                                <w:sz w:val="36"/>
                              </w:rPr>
                              <w:t>202</w:t>
                            </w:r>
                            <w:r w:rsidR="00D914D7">
                              <w:rPr>
                                <w:color w:val="000000"/>
                                <w:sz w:val="36"/>
                              </w:rPr>
                              <w:t>4</w:t>
                            </w:r>
                            <w:r>
                              <w:rPr>
                                <w:color w:val="000000"/>
                                <w:sz w:val="36"/>
                              </w:rPr>
                              <w:t xml:space="preserve"> APPROPRIATION ACT (i.e., CHAPTER 2)</w:t>
                            </w:r>
                          </w:p>
                          <w:p w14:paraId="43D09CBE" w14:textId="77777777" w:rsidR="000E51EC" w:rsidRDefault="000E51EC">
                            <w:pPr>
                              <w:jc w:val="center"/>
                              <w:textDirection w:val="btLr"/>
                            </w:pPr>
                          </w:p>
                          <w:p w14:paraId="3519F92B" w14:textId="77777777" w:rsidR="000E51EC" w:rsidRDefault="000E51EC">
                            <w:pPr>
                              <w:jc w:val="center"/>
                              <w:textDirection w:val="btLr"/>
                            </w:pPr>
                          </w:p>
                          <w:p w14:paraId="4078BFC9" w14:textId="77777777" w:rsidR="000E51EC" w:rsidRDefault="000E51EC">
                            <w:pPr>
                              <w:jc w:val="center"/>
                              <w:textDirection w:val="btLr"/>
                            </w:pPr>
                          </w:p>
                          <w:p w14:paraId="736261B3" w14:textId="77777777" w:rsidR="000E51EC" w:rsidRDefault="000E51EC">
                            <w:pPr>
                              <w:jc w:val="center"/>
                              <w:textDirection w:val="btLr"/>
                            </w:pPr>
                          </w:p>
                          <w:p w14:paraId="204B0E82" w14:textId="77777777" w:rsidR="000E51EC" w:rsidRDefault="000E51EC">
                            <w:pPr>
                              <w:jc w:val="center"/>
                              <w:textDirection w:val="btLr"/>
                            </w:pPr>
                          </w:p>
                          <w:p w14:paraId="7A785C14" w14:textId="77777777" w:rsidR="000E51EC" w:rsidRDefault="000E51EC">
                            <w:pPr>
                              <w:jc w:val="center"/>
                              <w:textDirection w:val="btLr"/>
                            </w:pPr>
                          </w:p>
                          <w:p w14:paraId="767156B6" w14:textId="77777777" w:rsidR="000E51EC" w:rsidRDefault="000E51EC">
                            <w:pPr>
                              <w:jc w:val="center"/>
                              <w:textDirection w:val="btLr"/>
                            </w:pPr>
                          </w:p>
                          <w:p w14:paraId="7518703C" w14:textId="77777777" w:rsidR="000E51EC" w:rsidRDefault="000E51EC">
                            <w:pPr>
                              <w:jc w:val="center"/>
                              <w:textDirection w:val="btLr"/>
                            </w:pPr>
                          </w:p>
                          <w:p w14:paraId="4596B232" w14:textId="77777777" w:rsidR="000E51EC" w:rsidRDefault="000E51EC">
                            <w:pPr>
                              <w:jc w:val="center"/>
                              <w:textDirection w:val="btLr"/>
                            </w:pPr>
                          </w:p>
                          <w:p w14:paraId="413F0081" w14:textId="77777777" w:rsidR="000E51EC" w:rsidRDefault="000E51EC">
                            <w:pPr>
                              <w:jc w:val="center"/>
                              <w:textDirection w:val="btLr"/>
                            </w:pPr>
                          </w:p>
                          <w:p w14:paraId="290334A0" w14:textId="77777777" w:rsidR="000E51EC" w:rsidRDefault="000E51EC">
                            <w:pPr>
                              <w:jc w:val="center"/>
                              <w:textDirection w:val="btLr"/>
                            </w:pPr>
                          </w:p>
                          <w:p w14:paraId="7B0696D8" w14:textId="77777777" w:rsidR="000E51EC" w:rsidRDefault="000E51EC">
                            <w:pPr>
                              <w:jc w:val="center"/>
                              <w:textDirection w:val="btLr"/>
                            </w:pPr>
                          </w:p>
                          <w:p w14:paraId="46D5C990" w14:textId="77777777" w:rsidR="000E51EC" w:rsidRDefault="000E51EC">
                            <w:pPr>
                              <w:jc w:val="center"/>
                              <w:textDirection w:val="btLr"/>
                            </w:pPr>
                          </w:p>
                          <w:p w14:paraId="12A28523" w14:textId="77777777" w:rsidR="000E51EC" w:rsidRDefault="000E51EC">
                            <w:pPr>
                              <w:jc w:val="center"/>
                              <w:textDirection w:val="btLr"/>
                            </w:pPr>
                          </w:p>
                          <w:p w14:paraId="7FDA51CC" w14:textId="77777777" w:rsidR="000E51EC" w:rsidRDefault="00B57067">
                            <w:pPr>
                              <w:jc w:val="center"/>
                              <w:textDirection w:val="btLr"/>
                            </w:pPr>
                            <w:r>
                              <w:rPr>
                                <w:color w:val="000000"/>
                                <w:sz w:val="48"/>
                              </w:rPr>
                              <w:t>VIRGINIA BOARD OF EDUCATION</w:t>
                            </w:r>
                          </w:p>
                          <w:p w14:paraId="75810740" w14:textId="77777777" w:rsidR="000E51EC" w:rsidRDefault="000E51EC">
                            <w:pPr>
                              <w:textDirection w:val="btLr"/>
                            </w:pPr>
                          </w:p>
                        </w:txbxContent>
                      </wps:txbx>
                      <wps:bodyPr spcFirstLastPara="1" wrap="square" lIns="274300" tIns="45700" rIns="274300" bIns="45700" anchor="ctr" anchorCtr="0">
                        <a:noAutofit/>
                      </wps:bodyPr>
                    </wps:wsp>
                  </a:graphicData>
                </a:graphic>
              </wp:anchor>
            </w:drawing>
          </mc:Choice>
          <mc:Fallback>
            <w:pict>
              <v:rect w14:anchorId="607CB4FF" id="Rectangle 467" o:spid="_x0000_s1026" style="position:absolute;margin-left:-5.35pt;margin-top:-6.35pt;width:628.75pt;height:764.4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" fillcolor="#102b50" stroked="f">
                <v:fill color2="#003b71" focusposition="1,1" focussize="" focus="100%" type="gradientRadial"/>
                <v:textbox inset="7.61944mm,1.2694mm,7.61944mm,1.2694mm">
                  <w:txbxContent>
                    <w:p w14:paraId="778805FB" w14:textId="77777777" w:rsidR="000E51EC" w:rsidRDefault="000E51EC">
                      <w:pPr>
                        <w:jc w:val="center"/>
                        <w:textDirection w:val="btLr"/>
                      </w:pPr>
                    </w:p>
                    <w:p w14:paraId="385A60D3" w14:textId="77777777" w:rsidR="000E51EC" w:rsidRDefault="000E51EC">
                      <w:pPr>
                        <w:jc w:val="center"/>
                        <w:textDirection w:val="btLr"/>
                      </w:pPr>
                    </w:p>
                    <w:p w14:paraId="7E415531" w14:textId="77777777" w:rsidR="000E51EC" w:rsidRDefault="000E51EC">
                      <w:pPr>
                        <w:jc w:val="center"/>
                        <w:textDirection w:val="btLr"/>
                      </w:pPr>
                    </w:p>
                    <w:p w14:paraId="2B6E3123" w14:textId="77777777" w:rsidR="000E51EC" w:rsidRDefault="000E51EC">
                      <w:pPr>
                        <w:jc w:val="center"/>
                        <w:textDirection w:val="btLr"/>
                      </w:pPr>
                    </w:p>
                    <w:p w14:paraId="3D5FDAC4" w14:textId="77777777" w:rsidR="000E51EC" w:rsidRDefault="000E51EC">
                      <w:pPr>
                        <w:jc w:val="center"/>
                        <w:textDirection w:val="btLr"/>
                      </w:pPr>
                    </w:p>
                    <w:p w14:paraId="21585CE2" w14:textId="77777777" w:rsidR="000E51EC" w:rsidRDefault="000E51EC">
                      <w:pPr>
                        <w:jc w:val="center"/>
                        <w:textDirection w:val="btLr"/>
                      </w:pPr>
                    </w:p>
                    <w:p w14:paraId="55F00F1C" w14:textId="2415ABBC" w:rsidR="000E51EC" w:rsidRDefault="00B57067">
                      <w:pPr>
                        <w:jc w:val="center"/>
                        <w:textDirection w:val="btLr"/>
                      </w:pPr>
                      <w:r>
                        <w:rPr>
                          <w:b/>
                          <w:color w:val="000000"/>
                          <w:sz w:val="72"/>
                        </w:rPr>
                        <w:t>GUIDELINES FOR IMPLEMENTING NEW APPROPRIATION ACT PROVISIONS FOR LITERARY FUND SCHOOL CONSTRUCTION LOANS IN THE 202</w:t>
                      </w:r>
                      <w:r w:rsidR="00D914D7">
                        <w:rPr>
                          <w:b/>
                          <w:color w:val="000000"/>
                          <w:sz w:val="72"/>
                        </w:rPr>
                        <w:t>4</w:t>
                      </w:r>
                      <w:r>
                        <w:rPr>
                          <w:b/>
                          <w:color w:val="000000"/>
                          <w:sz w:val="72"/>
                        </w:rPr>
                        <w:t>-202</w:t>
                      </w:r>
                      <w:r w:rsidR="00D914D7">
                        <w:rPr>
                          <w:b/>
                          <w:color w:val="000000"/>
                          <w:sz w:val="72"/>
                        </w:rPr>
                        <w:t>6</w:t>
                      </w:r>
                      <w:r>
                        <w:rPr>
                          <w:b/>
                          <w:color w:val="000000"/>
                          <w:sz w:val="72"/>
                        </w:rPr>
                        <w:t xml:space="preserve"> BIENNIUM</w:t>
                      </w:r>
                    </w:p>
                    <w:p w14:paraId="75808A2C" w14:textId="77777777" w:rsidR="000E51EC" w:rsidRDefault="000E51EC">
                      <w:pPr>
                        <w:jc w:val="center"/>
                        <w:textDirection w:val="btLr"/>
                      </w:pPr>
                    </w:p>
                    <w:p w14:paraId="5F41B47E" w14:textId="55252CE3" w:rsidR="000E51EC" w:rsidRDefault="00B57067">
                      <w:pPr>
                        <w:jc w:val="center"/>
                        <w:textDirection w:val="btLr"/>
                      </w:pPr>
                      <w:r>
                        <w:rPr>
                          <w:color w:val="000000"/>
                          <w:sz w:val="36"/>
                        </w:rPr>
                        <w:t>PURSUANT TO ITEM 1</w:t>
                      </w:r>
                      <w:r w:rsidR="00D914D7">
                        <w:rPr>
                          <w:color w:val="000000"/>
                          <w:sz w:val="36"/>
                        </w:rPr>
                        <w:t>25</w:t>
                      </w:r>
                      <w:r>
                        <w:rPr>
                          <w:color w:val="000000"/>
                          <w:sz w:val="36"/>
                        </w:rPr>
                        <w:t>, PARAGRAPH C.1</w:t>
                      </w:r>
                      <w:r w:rsidR="00D914D7">
                        <w:rPr>
                          <w:color w:val="000000"/>
                          <w:sz w:val="36"/>
                        </w:rPr>
                        <w:t>3</w:t>
                      </w:r>
                      <w:r>
                        <w:rPr>
                          <w:color w:val="000000"/>
                          <w:sz w:val="36"/>
                        </w:rPr>
                        <w:t>.,</w:t>
                      </w:r>
                    </w:p>
                    <w:p w14:paraId="76B61F03" w14:textId="10FAE5C9" w:rsidR="000E51EC" w:rsidRDefault="00B57067">
                      <w:pPr>
                        <w:jc w:val="center"/>
                        <w:textDirection w:val="btLr"/>
                      </w:pPr>
                      <w:r>
                        <w:rPr>
                          <w:color w:val="000000"/>
                          <w:sz w:val="36"/>
                        </w:rPr>
                        <w:t>202</w:t>
                      </w:r>
                      <w:r w:rsidR="00D914D7">
                        <w:rPr>
                          <w:color w:val="000000"/>
                          <w:sz w:val="36"/>
                        </w:rPr>
                        <w:t>4</w:t>
                      </w:r>
                      <w:r>
                        <w:rPr>
                          <w:color w:val="000000"/>
                          <w:sz w:val="36"/>
                        </w:rPr>
                        <w:t xml:space="preserve"> APPROPRIATION ACT (i.e., CHAPTER 2)</w:t>
                      </w:r>
                    </w:p>
                    <w:p w14:paraId="43D09CBE" w14:textId="77777777" w:rsidR="000E51EC" w:rsidRDefault="000E51EC">
                      <w:pPr>
                        <w:jc w:val="center"/>
                        <w:textDirection w:val="btLr"/>
                      </w:pPr>
                    </w:p>
                    <w:p w14:paraId="3519F92B" w14:textId="77777777" w:rsidR="000E51EC" w:rsidRDefault="000E51EC">
                      <w:pPr>
                        <w:jc w:val="center"/>
                        <w:textDirection w:val="btLr"/>
                      </w:pPr>
                    </w:p>
                    <w:p w14:paraId="4078BFC9" w14:textId="77777777" w:rsidR="000E51EC" w:rsidRDefault="000E51EC">
                      <w:pPr>
                        <w:jc w:val="center"/>
                        <w:textDirection w:val="btLr"/>
                      </w:pPr>
                    </w:p>
                    <w:p w14:paraId="736261B3" w14:textId="77777777" w:rsidR="000E51EC" w:rsidRDefault="000E51EC">
                      <w:pPr>
                        <w:jc w:val="center"/>
                        <w:textDirection w:val="btLr"/>
                      </w:pPr>
                    </w:p>
                    <w:p w14:paraId="204B0E82" w14:textId="77777777" w:rsidR="000E51EC" w:rsidRDefault="000E51EC">
                      <w:pPr>
                        <w:jc w:val="center"/>
                        <w:textDirection w:val="btLr"/>
                      </w:pPr>
                    </w:p>
                    <w:p w14:paraId="7A785C14" w14:textId="77777777" w:rsidR="000E51EC" w:rsidRDefault="000E51EC">
                      <w:pPr>
                        <w:jc w:val="center"/>
                        <w:textDirection w:val="btLr"/>
                      </w:pPr>
                    </w:p>
                    <w:p w14:paraId="767156B6" w14:textId="77777777" w:rsidR="000E51EC" w:rsidRDefault="000E51EC">
                      <w:pPr>
                        <w:jc w:val="center"/>
                        <w:textDirection w:val="btLr"/>
                      </w:pPr>
                    </w:p>
                    <w:p w14:paraId="7518703C" w14:textId="77777777" w:rsidR="000E51EC" w:rsidRDefault="000E51EC">
                      <w:pPr>
                        <w:jc w:val="center"/>
                        <w:textDirection w:val="btLr"/>
                      </w:pPr>
                    </w:p>
                    <w:p w14:paraId="4596B232" w14:textId="77777777" w:rsidR="000E51EC" w:rsidRDefault="000E51EC">
                      <w:pPr>
                        <w:jc w:val="center"/>
                        <w:textDirection w:val="btLr"/>
                      </w:pPr>
                    </w:p>
                    <w:p w14:paraId="413F0081" w14:textId="77777777" w:rsidR="000E51EC" w:rsidRDefault="000E51EC">
                      <w:pPr>
                        <w:jc w:val="center"/>
                        <w:textDirection w:val="btLr"/>
                      </w:pPr>
                    </w:p>
                    <w:p w14:paraId="290334A0" w14:textId="77777777" w:rsidR="000E51EC" w:rsidRDefault="000E51EC">
                      <w:pPr>
                        <w:jc w:val="center"/>
                        <w:textDirection w:val="btLr"/>
                      </w:pPr>
                    </w:p>
                    <w:p w14:paraId="7B0696D8" w14:textId="77777777" w:rsidR="000E51EC" w:rsidRDefault="000E51EC">
                      <w:pPr>
                        <w:jc w:val="center"/>
                        <w:textDirection w:val="btLr"/>
                      </w:pPr>
                    </w:p>
                    <w:p w14:paraId="46D5C990" w14:textId="77777777" w:rsidR="000E51EC" w:rsidRDefault="000E51EC">
                      <w:pPr>
                        <w:jc w:val="center"/>
                        <w:textDirection w:val="btLr"/>
                      </w:pPr>
                    </w:p>
                    <w:p w14:paraId="12A28523" w14:textId="77777777" w:rsidR="000E51EC" w:rsidRDefault="000E51EC">
                      <w:pPr>
                        <w:jc w:val="center"/>
                        <w:textDirection w:val="btLr"/>
                      </w:pPr>
                    </w:p>
                    <w:p w14:paraId="7FDA51CC" w14:textId="77777777" w:rsidR="000E51EC" w:rsidRDefault="00B57067">
                      <w:pPr>
                        <w:jc w:val="center"/>
                        <w:textDirection w:val="btLr"/>
                      </w:pPr>
                      <w:r>
                        <w:rPr>
                          <w:color w:val="000000"/>
                          <w:sz w:val="48"/>
                        </w:rPr>
                        <w:t>VIRGINIA BOARD OF EDUCATION</w:t>
                      </w:r>
                    </w:p>
                    <w:p w14:paraId="75810740" w14:textId="77777777" w:rsidR="000E51EC" w:rsidRDefault="000E51EC">
                      <w:pPr>
                        <w:textDirection w:val="btLr"/>
                      </w:pPr>
                    </w:p>
                  </w:txbxContent>
                </v:textbox>
                <w10:wrap anchorx="page" anchory="page"/>
              </v:rect>
            </w:pict>
          </mc:Fallback>
        </mc:AlternateContent>
      </w:r>
    </w:p>
    <w:p w14:paraId="0A2EB651" w14:textId="77777777" w:rsidR="000E51EC" w:rsidRDefault="00B57067">
      <w:r>
        <w:br w:type="page"/>
      </w:r>
    </w:p>
    <w:p w14:paraId="3D14F640" w14:textId="77777777" w:rsidR="000E51EC" w:rsidRDefault="00B57067">
      <w:r>
        <w:rPr>
          <w:b/>
          <w:smallCaps/>
          <w:color w:val="003B71"/>
          <w:sz w:val="48"/>
          <w:szCs w:val="48"/>
        </w:rPr>
        <w:lastRenderedPageBreak/>
        <w:t>background</w:t>
      </w:r>
    </w:p>
    <w:p w14:paraId="6837D143" w14:textId="77777777" w:rsidR="000E51EC" w:rsidRDefault="00B57067">
      <w:pPr>
        <w:pBdr>
          <w:top w:val="nil"/>
          <w:left w:val="nil"/>
          <w:bottom w:val="nil"/>
          <w:right w:val="nil"/>
          <w:between w:val="nil"/>
        </w:pBdr>
        <w:rPr>
          <w:color w:val="000000"/>
        </w:rPr>
      </w:pPr>
      <w:r>
        <w:rPr>
          <w:color w:val="000000"/>
        </w:rPr>
        <w:t xml:space="preserve">The Literary Fund is authorized under Article VIII, Section 8 of the </w:t>
      </w:r>
      <w:r>
        <w:rPr>
          <w:i/>
          <w:color w:val="000000"/>
        </w:rPr>
        <w:t>Constitution of Virginia</w:t>
      </w:r>
      <w:r>
        <w:rPr>
          <w:color w:val="000000"/>
        </w:rPr>
        <w:t xml:space="preserve"> </w:t>
      </w:r>
    </w:p>
    <w:p w14:paraId="4063D347" w14:textId="77777777" w:rsidR="000E51EC" w:rsidRDefault="00B57067">
      <w:pPr>
        <w:pBdr>
          <w:top w:val="nil"/>
          <w:left w:val="nil"/>
          <w:bottom w:val="nil"/>
          <w:right w:val="nil"/>
          <w:between w:val="nil"/>
        </w:pBdr>
        <w:rPr>
          <w:color w:val="000000"/>
        </w:rPr>
      </w:pPr>
      <w:r>
        <w:rPr>
          <w:color w:val="000000"/>
        </w:rPr>
        <w:t>as a permanent and perpetual school fund to be used for public school purposes. Certain revenue sources are dedicated to the Literary Fund, primarily escheated property, property forfe</w:t>
      </w:r>
      <w:r>
        <w:t xml:space="preserve">ited </w:t>
      </w:r>
      <w:r>
        <w:rPr>
          <w:color w:val="000000"/>
        </w:rPr>
        <w:t xml:space="preserve">to the Commonwealth, fines for offenses committed against the Commonwealth, and annual interest on the Literary Fund. A minimum asset balance of $80.0 million must be maintained in the Fund. Title 22.1, Chapter 10, </w:t>
      </w:r>
      <w:r>
        <w:rPr>
          <w:i/>
          <w:color w:val="000000"/>
        </w:rPr>
        <w:t>Code of Virginia</w:t>
      </w:r>
      <w:r>
        <w:rPr>
          <w:color w:val="000000"/>
        </w:rPr>
        <w:t xml:space="preserve">, Chapter 100 of the </w:t>
      </w:r>
      <w:r>
        <w:rPr>
          <w:i/>
          <w:color w:val="000000"/>
        </w:rPr>
        <w:t>Virginia Administrative Code</w:t>
      </w:r>
      <w:r>
        <w:rPr>
          <w:color w:val="000000"/>
        </w:rPr>
        <w:t>, and provisions in the state appropriation act further govern the Literary Fund and its uses. The Board of Education (“Board”) is responsible for administering the Literary Fund;</w:t>
      </w:r>
      <w:r>
        <w:t xml:space="preserve"> t</w:t>
      </w:r>
      <w:r>
        <w:rPr>
          <w:color w:val="000000"/>
        </w:rPr>
        <w:t>he Department of the Tr</w:t>
      </w:r>
      <w:r>
        <w:t>easury serves as accountant for the Fund.</w:t>
      </w:r>
    </w:p>
    <w:p w14:paraId="50AD1FC3" w14:textId="77777777" w:rsidR="000E51EC" w:rsidRDefault="000E51EC">
      <w:pPr>
        <w:pBdr>
          <w:top w:val="nil"/>
          <w:left w:val="nil"/>
          <w:bottom w:val="nil"/>
          <w:right w:val="nil"/>
          <w:between w:val="nil"/>
        </w:pBdr>
        <w:rPr>
          <w:color w:val="000000"/>
        </w:rPr>
      </w:pPr>
    </w:p>
    <w:p w14:paraId="1CA854EF" w14:textId="77777777" w:rsidR="000E51EC" w:rsidRDefault="00B57067">
      <w:pPr>
        <w:pBdr>
          <w:top w:val="nil"/>
          <w:left w:val="nil"/>
          <w:bottom w:val="nil"/>
          <w:right w:val="nil"/>
          <w:between w:val="nil"/>
        </w:pBdr>
        <w:rPr>
          <w:color w:val="000000"/>
        </w:rPr>
      </w:pPr>
      <w:r>
        <w:rPr>
          <w:highlight w:val="white"/>
        </w:rPr>
        <w:t xml:space="preserve">The </w:t>
      </w:r>
      <w:r>
        <w:rPr>
          <w:i/>
          <w:highlight w:val="white"/>
        </w:rPr>
        <w:t>Code of Virginia</w:t>
      </w:r>
      <w:r>
        <w:rPr>
          <w:highlight w:val="white"/>
        </w:rPr>
        <w:t xml:space="preserve"> and regulations of the Board in the </w:t>
      </w:r>
      <w:r>
        <w:rPr>
          <w:i/>
          <w:highlight w:val="white"/>
        </w:rPr>
        <w:t>Virginia Administrative Code</w:t>
      </w:r>
      <w:r>
        <w:rPr>
          <w:highlight w:val="white"/>
        </w:rPr>
        <w:t xml:space="preserve"> establish public school construction and renovation through revolving loans as a primary purpose of the Literary Fund. </w:t>
      </w:r>
      <w:r>
        <w:rPr>
          <w:color w:val="000000"/>
        </w:rPr>
        <w:t>The state appropriation act further authorizes the Board to issue loans from the Literary Fund to the school boards of local school divisions that apply for loans, authorized by the locality and the school board, for the purposes of a) erecting, altering, or enlarging school buildings in local school divisions, or b) refinancing prior indebtedness or obligations incurred by a locality on behalf of a school division which has an application for a Literary Fund loan for an approved school project pending before the Board.</w:t>
      </w:r>
    </w:p>
    <w:p w14:paraId="00CF072E" w14:textId="77777777" w:rsidR="000E51EC" w:rsidRDefault="000E51EC">
      <w:pPr>
        <w:pBdr>
          <w:top w:val="nil"/>
          <w:left w:val="nil"/>
          <w:bottom w:val="nil"/>
          <w:right w:val="nil"/>
          <w:between w:val="nil"/>
        </w:pBdr>
        <w:rPr>
          <w:color w:val="000000"/>
        </w:rPr>
      </w:pPr>
    </w:p>
    <w:p w14:paraId="21532596" w14:textId="7FB5828E" w:rsidR="000E51EC" w:rsidRDefault="00B57067">
      <w:pPr>
        <w:pBdr>
          <w:top w:val="nil"/>
          <w:left w:val="nil"/>
          <w:bottom w:val="nil"/>
          <w:right w:val="nil"/>
          <w:between w:val="nil"/>
        </w:pBdr>
        <w:rPr>
          <w:color w:val="000000"/>
        </w:rPr>
      </w:pPr>
      <w:r>
        <w:rPr>
          <w:color w:val="000000"/>
        </w:rPr>
        <w:t>Several new budget language provisions impacting Literary Fund school construction loans were enacted in the 2022 Appropriation Act</w:t>
      </w:r>
      <w:r w:rsidR="00D914D7">
        <w:rPr>
          <w:color w:val="000000"/>
        </w:rPr>
        <w:t>.  Language has been updated for</w:t>
      </w:r>
      <w:r>
        <w:rPr>
          <w:color w:val="000000"/>
        </w:rPr>
        <w:t xml:space="preserve"> the 202</w:t>
      </w:r>
      <w:r w:rsidR="00D914D7">
        <w:rPr>
          <w:color w:val="000000"/>
        </w:rPr>
        <w:t>4</w:t>
      </w:r>
      <w:r>
        <w:rPr>
          <w:color w:val="000000"/>
        </w:rPr>
        <w:t>-202</w:t>
      </w:r>
      <w:r w:rsidR="00D914D7">
        <w:rPr>
          <w:color w:val="000000"/>
        </w:rPr>
        <w:t>6</w:t>
      </w:r>
      <w:r>
        <w:rPr>
          <w:color w:val="000000"/>
        </w:rPr>
        <w:t xml:space="preserve"> biennium</w:t>
      </w:r>
      <w:r w:rsidR="00D914D7">
        <w:rPr>
          <w:color w:val="000000"/>
        </w:rPr>
        <w:t xml:space="preserve"> in the 2024 Appropriation Act (Chapter 2)</w:t>
      </w:r>
      <w:r>
        <w:rPr>
          <w:color w:val="000000"/>
        </w:rPr>
        <w:t>, as follows:</w:t>
      </w:r>
    </w:p>
    <w:p w14:paraId="0DD5B5FA" w14:textId="77777777" w:rsidR="000E51EC" w:rsidRDefault="000E51EC">
      <w:pPr>
        <w:pBdr>
          <w:top w:val="nil"/>
          <w:left w:val="nil"/>
          <w:bottom w:val="nil"/>
          <w:right w:val="nil"/>
          <w:between w:val="nil"/>
        </w:pBdr>
        <w:rPr>
          <w:color w:val="000000"/>
        </w:rPr>
      </w:pPr>
    </w:p>
    <w:p w14:paraId="5AB2E590" w14:textId="0225B4DB" w:rsidR="000E51EC" w:rsidRDefault="00B57067">
      <w:pPr>
        <w:numPr>
          <w:ilvl w:val="0"/>
          <w:numId w:val="1"/>
        </w:numPr>
        <w:pBdr>
          <w:top w:val="nil"/>
          <w:left w:val="nil"/>
          <w:bottom w:val="nil"/>
          <w:right w:val="nil"/>
          <w:between w:val="nil"/>
        </w:pBdr>
      </w:pPr>
      <w:r>
        <w:rPr>
          <w:color w:val="000000"/>
        </w:rPr>
        <w:t>Language authorizing the Board to offer up to $200,000,000 in fiscal year (FY) 202</w:t>
      </w:r>
      <w:r w:rsidR="00D914D7">
        <w:rPr>
          <w:color w:val="000000"/>
        </w:rPr>
        <w:t>5</w:t>
      </w:r>
      <w:r>
        <w:rPr>
          <w:color w:val="000000"/>
        </w:rPr>
        <w:t xml:space="preserve"> and up to $</w:t>
      </w:r>
      <w:r w:rsidR="00D914D7">
        <w:rPr>
          <w:color w:val="000000"/>
        </w:rPr>
        <w:t>5</w:t>
      </w:r>
      <w:r>
        <w:rPr>
          <w:color w:val="000000"/>
        </w:rPr>
        <w:t>0,000,000 in FY 202</w:t>
      </w:r>
      <w:r w:rsidR="00D914D7">
        <w:rPr>
          <w:color w:val="000000"/>
        </w:rPr>
        <w:t>6</w:t>
      </w:r>
      <w:r>
        <w:rPr>
          <w:color w:val="000000"/>
        </w:rPr>
        <w:t xml:space="preserve"> from the Literary Fund for school construction loans, subject to the availability of funds. Amounts designated for school construction loans that are not obligated in FY 202</w:t>
      </w:r>
      <w:r w:rsidR="00D914D7">
        <w:rPr>
          <w:color w:val="000000"/>
        </w:rPr>
        <w:t>5</w:t>
      </w:r>
      <w:r>
        <w:rPr>
          <w:color w:val="000000"/>
        </w:rPr>
        <w:t xml:space="preserve"> may be obligated in FY </w:t>
      </w:r>
      <w:proofErr w:type="gramStart"/>
      <w:r>
        <w:rPr>
          <w:color w:val="000000"/>
        </w:rPr>
        <w:t>202</w:t>
      </w:r>
      <w:r w:rsidR="00D914D7">
        <w:rPr>
          <w:color w:val="000000"/>
        </w:rPr>
        <w:t>6</w:t>
      </w:r>
      <w:r>
        <w:rPr>
          <w:color w:val="000000"/>
        </w:rPr>
        <w:t>;</w:t>
      </w:r>
      <w:proofErr w:type="gramEnd"/>
    </w:p>
    <w:p w14:paraId="1C1DAE2D" w14:textId="77777777" w:rsidR="000E51EC" w:rsidRDefault="00B57067">
      <w:pPr>
        <w:numPr>
          <w:ilvl w:val="0"/>
          <w:numId w:val="1"/>
        </w:numPr>
        <w:pBdr>
          <w:top w:val="nil"/>
          <w:left w:val="nil"/>
          <w:bottom w:val="nil"/>
          <w:right w:val="nil"/>
          <w:between w:val="nil"/>
        </w:pBdr>
      </w:pPr>
      <w:r>
        <w:rPr>
          <w:color w:val="000000"/>
        </w:rPr>
        <w:t>Establish an annual open enrollment process by which localities and school boards apply to the Literary Fund for school construction loans, replacing the First Priority and Second Priority waiting lists for awarding loans. Priority for loan funding is based on the local composite index of ability-to-pay (but the Board may consider other critical projects for priority</w:t>
      </w:r>
      <w:proofErr w:type="gramStart"/>
      <w:r>
        <w:rPr>
          <w:color w:val="000000"/>
        </w:rPr>
        <w:t>);</w:t>
      </w:r>
      <w:proofErr w:type="gramEnd"/>
    </w:p>
    <w:p w14:paraId="39AFC2E0" w14:textId="77777777" w:rsidR="000E51EC" w:rsidRDefault="00B57067">
      <w:pPr>
        <w:numPr>
          <w:ilvl w:val="0"/>
          <w:numId w:val="1"/>
        </w:numPr>
        <w:pBdr>
          <w:top w:val="nil"/>
          <w:left w:val="nil"/>
          <w:bottom w:val="nil"/>
          <w:right w:val="nil"/>
          <w:between w:val="nil"/>
        </w:pBdr>
      </w:pPr>
      <w:r>
        <w:rPr>
          <w:color w:val="000000"/>
        </w:rPr>
        <w:t xml:space="preserve">Establish a maximum Literary Fund loan amount per project of $25.0 million (from $7.5 million currently authorized in the </w:t>
      </w:r>
      <w:r>
        <w:rPr>
          <w:i/>
          <w:color w:val="000000"/>
        </w:rPr>
        <w:t>Code of Virginia</w:t>
      </w:r>
      <w:proofErr w:type="gramStart"/>
      <w:r>
        <w:rPr>
          <w:i/>
          <w:color w:val="000000"/>
        </w:rPr>
        <w:t>)</w:t>
      </w:r>
      <w:r>
        <w:rPr>
          <w:color w:val="000000"/>
        </w:rPr>
        <w:t>;</w:t>
      </w:r>
      <w:proofErr w:type="gramEnd"/>
    </w:p>
    <w:p w14:paraId="26D3CCA4" w14:textId="77777777" w:rsidR="000E51EC" w:rsidRDefault="00B57067">
      <w:pPr>
        <w:numPr>
          <w:ilvl w:val="0"/>
          <w:numId w:val="1"/>
        </w:numPr>
        <w:pBdr>
          <w:top w:val="nil"/>
          <w:left w:val="nil"/>
          <w:bottom w:val="nil"/>
          <w:right w:val="nil"/>
          <w:between w:val="nil"/>
        </w:pBdr>
      </w:pPr>
      <w:r>
        <w:rPr>
          <w:color w:val="000000"/>
        </w:rPr>
        <w:t>In consultation with the Department of the Treasury, establish loan interest rates that are benchmarked to a market index interest rate on an annual basis, not to exceed 2.0 percent for the tier of localities with a school division local composite index of ability-to-pay between 0.0000 and 0.2999; and</w:t>
      </w:r>
    </w:p>
    <w:p w14:paraId="265E6B13" w14:textId="77777777" w:rsidR="000E51EC" w:rsidRDefault="00B57067">
      <w:pPr>
        <w:numPr>
          <w:ilvl w:val="0"/>
          <w:numId w:val="1"/>
        </w:numPr>
        <w:pBdr>
          <w:top w:val="nil"/>
          <w:left w:val="nil"/>
          <w:bottom w:val="nil"/>
          <w:right w:val="nil"/>
          <w:between w:val="nil"/>
        </w:pBdr>
      </w:pPr>
      <w:r>
        <w:rPr>
          <w:color w:val="000000"/>
        </w:rPr>
        <w:t>Language authorizing the Board to offer a loan add-on not to exceed $5.0 million per loan for projects that will result in school consolidation and the net reduction of at least one existing school.</w:t>
      </w:r>
    </w:p>
    <w:p w14:paraId="0F3E73EC" w14:textId="77777777" w:rsidR="000E51EC" w:rsidRDefault="000E51EC">
      <w:pPr>
        <w:pBdr>
          <w:top w:val="nil"/>
          <w:left w:val="nil"/>
          <w:bottom w:val="nil"/>
          <w:right w:val="nil"/>
          <w:between w:val="nil"/>
        </w:pBdr>
        <w:rPr>
          <w:color w:val="000000"/>
        </w:rPr>
      </w:pPr>
    </w:p>
    <w:p w14:paraId="69F1EB2A" w14:textId="77777777" w:rsidR="000E51EC" w:rsidRDefault="000E51EC">
      <w:pPr>
        <w:pBdr>
          <w:top w:val="nil"/>
          <w:left w:val="nil"/>
          <w:bottom w:val="nil"/>
          <w:right w:val="nil"/>
          <w:between w:val="nil"/>
        </w:pBdr>
        <w:rPr>
          <w:b/>
          <w:smallCaps/>
          <w:color w:val="003B71"/>
        </w:rPr>
      </w:pPr>
    </w:p>
    <w:p w14:paraId="00D7A093" w14:textId="77777777" w:rsidR="000E51EC" w:rsidRDefault="00B57067">
      <w:pPr>
        <w:pBdr>
          <w:top w:val="nil"/>
          <w:left w:val="nil"/>
          <w:bottom w:val="nil"/>
          <w:right w:val="nil"/>
          <w:between w:val="nil"/>
        </w:pBdr>
        <w:rPr>
          <w:color w:val="000000"/>
        </w:rPr>
      </w:pPr>
      <w:r>
        <w:rPr>
          <w:b/>
          <w:smallCaps/>
          <w:color w:val="003B71"/>
          <w:sz w:val="48"/>
          <w:szCs w:val="48"/>
        </w:rPr>
        <w:lastRenderedPageBreak/>
        <w:t>APPLICABILITY OF THE GUIDELINES</w:t>
      </w:r>
    </w:p>
    <w:p w14:paraId="6B37D39C" w14:textId="77777777" w:rsidR="000E51EC" w:rsidRDefault="00B57067">
      <w:pPr>
        <w:pBdr>
          <w:top w:val="nil"/>
          <w:left w:val="nil"/>
          <w:bottom w:val="nil"/>
          <w:right w:val="nil"/>
          <w:between w:val="nil"/>
        </w:pBdr>
        <w:rPr>
          <w:color w:val="000000"/>
        </w:rPr>
      </w:pPr>
      <w:r>
        <w:rPr>
          <w:color w:val="000000"/>
        </w:rPr>
        <w:t xml:space="preserve">The new appropriation act provisions summarized above, and which are the basis for these guidelines, override any conflicting </w:t>
      </w:r>
      <w:r>
        <w:rPr>
          <w:i/>
          <w:color w:val="000000"/>
        </w:rPr>
        <w:t>Code of Virginia</w:t>
      </w:r>
      <w:r>
        <w:rPr>
          <w:color w:val="000000"/>
        </w:rPr>
        <w:t xml:space="preserve"> and </w:t>
      </w:r>
      <w:r>
        <w:rPr>
          <w:i/>
          <w:color w:val="000000"/>
        </w:rPr>
        <w:t>Virginia Administrative Code</w:t>
      </w:r>
      <w:r>
        <w:rPr>
          <w:color w:val="000000"/>
        </w:rPr>
        <w:t xml:space="preserve"> provisions related to Literary Fund school construction loans. Where there is no conflict, existing </w:t>
      </w:r>
      <w:r>
        <w:rPr>
          <w:i/>
          <w:color w:val="000000"/>
        </w:rPr>
        <w:t>Code of Virginia</w:t>
      </w:r>
      <w:r>
        <w:rPr>
          <w:color w:val="000000"/>
        </w:rPr>
        <w:t xml:space="preserve"> and </w:t>
      </w:r>
      <w:r>
        <w:rPr>
          <w:i/>
          <w:color w:val="000000"/>
        </w:rPr>
        <w:t>Virginia Administrative Code</w:t>
      </w:r>
      <w:r>
        <w:rPr>
          <w:color w:val="000000"/>
        </w:rPr>
        <w:t xml:space="preserve"> provisions related to Literary Fund school construction loans remain in effect.</w:t>
      </w:r>
    </w:p>
    <w:p w14:paraId="57BDE7F4" w14:textId="77777777" w:rsidR="000E51EC" w:rsidRDefault="000E51EC">
      <w:pPr>
        <w:pBdr>
          <w:top w:val="nil"/>
          <w:left w:val="nil"/>
          <w:bottom w:val="nil"/>
          <w:right w:val="nil"/>
          <w:between w:val="nil"/>
        </w:pBdr>
        <w:rPr>
          <w:color w:val="000000"/>
        </w:rPr>
      </w:pPr>
    </w:p>
    <w:p w14:paraId="2B7870C1" w14:textId="377A0777" w:rsidR="000E51EC" w:rsidRDefault="00B57067">
      <w:pPr>
        <w:pBdr>
          <w:top w:val="nil"/>
          <w:left w:val="nil"/>
          <w:bottom w:val="nil"/>
          <w:right w:val="nil"/>
          <w:between w:val="nil"/>
        </w:pBdr>
        <w:rPr>
          <w:color w:val="000000"/>
        </w:rPr>
      </w:pPr>
      <w:r>
        <w:rPr>
          <w:color w:val="000000"/>
        </w:rPr>
        <w:t>These guidelines facilitate implementation of the new appropriation act provisions impacting Literary Fund school construction loans during the 202</w:t>
      </w:r>
      <w:r w:rsidR="00223CD6">
        <w:rPr>
          <w:color w:val="000000"/>
        </w:rPr>
        <w:t>4</w:t>
      </w:r>
      <w:r>
        <w:rPr>
          <w:color w:val="000000"/>
        </w:rPr>
        <w:t>-202</w:t>
      </w:r>
      <w:r w:rsidR="00223CD6">
        <w:rPr>
          <w:color w:val="000000"/>
        </w:rPr>
        <w:t>6</w:t>
      </w:r>
      <w:r>
        <w:rPr>
          <w:color w:val="000000"/>
        </w:rPr>
        <w:t xml:space="preserve"> biennium. If subsequent legislative action on the state budget during the biennium results in substantive revisions to language provisions affecting Literary Fund loans, the guidelines will be updated accordingly and presented to the Board for review and approval. These guidelines will remain in effect initially for the 202</w:t>
      </w:r>
      <w:r w:rsidR="00223CD6">
        <w:rPr>
          <w:color w:val="000000"/>
        </w:rPr>
        <w:t>4</w:t>
      </w:r>
      <w:r>
        <w:rPr>
          <w:color w:val="000000"/>
        </w:rPr>
        <w:t>-202</w:t>
      </w:r>
      <w:r w:rsidR="00223CD6">
        <w:rPr>
          <w:color w:val="000000"/>
        </w:rPr>
        <w:t>6</w:t>
      </w:r>
      <w:r>
        <w:rPr>
          <w:color w:val="000000"/>
        </w:rPr>
        <w:t xml:space="preserve"> biennium, and then for </w:t>
      </w:r>
      <w:r>
        <w:t xml:space="preserve">future biennium </w:t>
      </w:r>
      <w:r>
        <w:rPr>
          <w:color w:val="000000"/>
        </w:rPr>
        <w:t>if the new budget language provisions affecting Literary Fund school construction loans are continued in future biennial appropriation acts.</w:t>
      </w:r>
    </w:p>
    <w:p w14:paraId="468A7248" w14:textId="77777777" w:rsidR="000E51EC" w:rsidRDefault="000E51EC">
      <w:pPr>
        <w:pBdr>
          <w:top w:val="nil"/>
          <w:left w:val="nil"/>
          <w:bottom w:val="nil"/>
          <w:right w:val="nil"/>
          <w:between w:val="nil"/>
        </w:pBdr>
        <w:rPr>
          <w:color w:val="000000"/>
        </w:rPr>
      </w:pPr>
    </w:p>
    <w:p w14:paraId="484F09A6" w14:textId="334E4570" w:rsidR="000E51EC" w:rsidRDefault="00B57067">
      <w:pPr>
        <w:pBdr>
          <w:top w:val="nil"/>
          <w:left w:val="nil"/>
          <w:bottom w:val="nil"/>
          <w:right w:val="nil"/>
          <w:between w:val="nil"/>
        </w:pBdr>
        <w:rPr>
          <w:b/>
          <w:smallCaps/>
          <w:color w:val="003B71"/>
          <w:sz w:val="48"/>
          <w:szCs w:val="48"/>
        </w:rPr>
      </w:pPr>
      <w:r>
        <w:rPr>
          <w:b/>
          <w:smallCaps/>
          <w:color w:val="003B71"/>
          <w:sz w:val="48"/>
          <w:szCs w:val="48"/>
        </w:rPr>
        <w:t>GUIDELINES FOR IMPLEMENTING THE NEW 202</w:t>
      </w:r>
      <w:r w:rsidR="00223CD6">
        <w:rPr>
          <w:b/>
          <w:smallCaps/>
          <w:color w:val="003B71"/>
          <w:sz w:val="48"/>
          <w:szCs w:val="48"/>
        </w:rPr>
        <w:t>4</w:t>
      </w:r>
      <w:r>
        <w:rPr>
          <w:b/>
          <w:smallCaps/>
          <w:color w:val="003B71"/>
          <w:sz w:val="48"/>
          <w:szCs w:val="48"/>
        </w:rPr>
        <w:t>-202</w:t>
      </w:r>
      <w:r w:rsidR="00223CD6">
        <w:rPr>
          <w:b/>
          <w:smallCaps/>
          <w:color w:val="003B71"/>
          <w:sz w:val="48"/>
          <w:szCs w:val="48"/>
        </w:rPr>
        <w:t>6</w:t>
      </w:r>
      <w:r>
        <w:rPr>
          <w:b/>
          <w:smallCaps/>
          <w:color w:val="003B71"/>
          <w:sz w:val="48"/>
          <w:szCs w:val="48"/>
        </w:rPr>
        <w:t xml:space="preserve"> APPROPRIATION ACT PROVISIONS FOR LITERARY FUND SCHOOL CONSTRUCTION LOANS</w:t>
      </w:r>
    </w:p>
    <w:p w14:paraId="1B3208D0" w14:textId="77777777" w:rsidR="000E51EC" w:rsidRDefault="000E51EC">
      <w:pPr>
        <w:pBdr>
          <w:top w:val="nil"/>
          <w:left w:val="nil"/>
          <w:bottom w:val="nil"/>
          <w:right w:val="nil"/>
          <w:between w:val="nil"/>
        </w:pBdr>
        <w:rPr>
          <w:color w:val="000000"/>
        </w:rPr>
      </w:pPr>
    </w:p>
    <w:p w14:paraId="6988CF6E" w14:textId="77777777" w:rsidR="000E51EC" w:rsidRDefault="00B57067">
      <w:pPr>
        <w:pStyle w:val="Heading2"/>
      </w:pPr>
      <w:r>
        <w:t>Funds Availability for Loans</w:t>
      </w:r>
    </w:p>
    <w:p w14:paraId="408A8DD2" w14:textId="02D173FA" w:rsidR="000E51EC" w:rsidRDefault="00B57067">
      <w:pPr>
        <w:pBdr>
          <w:top w:val="nil"/>
          <w:left w:val="nil"/>
          <w:bottom w:val="nil"/>
          <w:right w:val="nil"/>
          <w:between w:val="nil"/>
        </w:pBdr>
        <w:rPr>
          <w:color w:val="000000"/>
        </w:rPr>
      </w:pPr>
      <w:r>
        <w:t>As authorized in the Chapter 2 budget, t</w:t>
      </w:r>
      <w:r>
        <w:rPr>
          <w:color w:val="000000"/>
        </w:rPr>
        <w:t>he Board may offer up to $200,000,000 in FY 202</w:t>
      </w:r>
      <w:r w:rsidR="00223CD6">
        <w:rPr>
          <w:color w:val="000000"/>
        </w:rPr>
        <w:t>5</w:t>
      </w:r>
      <w:r>
        <w:rPr>
          <w:color w:val="000000"/>
        </w:rPr>
        <w:t xml:space="preserve"> and up to $</w:t>
      </w:r>
      <w:r w:rsidR="00223CD6">
        <w:rPr>
          <w:color w:val="000000"/>
        </w:rPr>
        <w:t>5</w:t>
      </w:r>
      <w:r>
        <w:rPr>
          <w:color w:val="000000"/>
        </w:rPr>
        <w:t>0,000,000 in FY 202</w:t>
      </w:r>
      <w:r w:rsidR="00223CD6">
        <w:rPr>
          <w:color w:val="000000"/>
        </w:rPr>
        <w:t>6</w:t>
      </w:r>
      <w:r>
        <w:rPr>
          <w:color w:val="000000"/>
        </w:rPr>
        <w:t xml:space="preserve"> from the Literary Fund for school construction loans, subject to the availability of funds. Amounts designated for school construction loans that are not obligated in FY 202</w:t>
      </w:r>
      <w:r w:rsidR="00223CD6">
        <w:rPr>
          <w:color w:val="000000"/>
        </w:rPr>
        <w:t>5</w:t>
      </w:r>
      <w:r>
        <w:rPr>
          <w:color w:val="000000"/>
        </w:rPr>
        <w:t xml:space="preserve"> may be obligated in FY 202</w:t>
      </w:r>
      <w:r w:rsidR="00223CD6">
        <w:rPr>
          <w:color w:val="000000"/>
        </w:rPr>
        <w:t>6</w:t>
      </w:r>
      <w:r>
        <w:rPr>
          <w:color w:val="000000"/>
        </w:rPr>
        <w:t>. Before any loan is awarded by the Board for an approved school project during FY 202</w:t>
      </w:r>
      <w:r w:rsidR="00223CD6">
        <w:rPr>
          <w:color w:val="000000"/>
        </w:rPr>
        <w:t>5</w:t>
      </w:r>
      <w:r>
        <w:rPr>
          <w:color w:val="000000"/>
        </w:rPr>
        <w:t xml:space="preserve"> or FY 202</w:t>
      </w:r>
      <w:r w:rsidR="00223CD6">
        <w:rPr>
          <w:color w:val="000000"/>
        </w:rPr>
        <w:t>6</w:t>
      </w:r>
      <w:r>
        <w:rPr>
          <w:color w:val="000000"/>
        </w:rPr>
        <w:t>, Department of Education (“Department”) staff will confirm the availability of unobligated balances in the Literary Fund sufficient to fund the approved loan request.</w:t>
      </w:r>
    </w:p>
    <w:p w14:paraId="1E6F897B" w14:textId="77777777" w:rsidR="000E51EC" w:rsidRDefault="000E51EC">
      <w:pPr>
        <w:pBdr>
          <w:top w:val="nil"/>
          <w:left w:val="nil"/>
          <w:bottom w:val="nil"/>
          <w:right w:val="nil"/>
          <w:between w:val="nil"/>
        </w:pBdr>
        <w:rPr>
          <w:color w:val="000000"/>
        </w:rPr>
      </w:pPr>
    </w:p>
    <w:p w14:paraId="37FA0582" w14:textId="77777777" w:rsidR="000E51EC" w:rsidRDefault="00B57067">
      <w:pPr>
        <w:pStyle w:val="Heading2"/>
      </w:pPr>
      <w:r>
        <w:t>Annual Open Enrollment Application Process</w:t>
      </w:r>
    </w:p>
    <w:p w14:paraId="0DB20D31" w14:textId="77777777" w:rsidR="000E51EC" w:rsidRDefault="00B57067">
      <w:pPr>
        <w:pBdr>
          <w:top w:val="nil"/>
          <w:left w:val="nil"/>
          <w:bottom w:val="nil"/>
          <w:right w:val="nil"/>
          <w:between w:val="nil"/>
        </w:pBdr>
        <w:rPr>
          <w:color w:val="000000"/>
        </w:rPr>
      </w:pPr>
      <w:r>
        <w:rPr>
          <w:color w:val="000000"/>
        </w:rPr>
        <w:t>Localities and local school boards may submit applications for school construction loans from the Literary Fund during an annual open enrollment process. Effective July 1, 2022, the Literary Fund First Priority and Second Priority waiting lists are no longer used to prioritize award of loans for approved applications.</w:t>
      </w:r>
    </w:p>
    <w:p w14:paraId="02B0D6CA" w14:textId="77777777" w:rsidR="000E51EC" w:rsidRDefault="000E51EC">
      <w:pPr>
        <w:pBdr>
          <w:top w:val="nil"/>
          <w:left w:val="nil"/>
          <w:bottom w:val="nil"/>
          <w:right w:val="nil"/>
          <w:between w:val="nil"/>
        </w:pBdr>
        <w:rPr>
          <w:color w:val="000000"/>
        </w:rPr>
      </w:pPr>
    </w:p>
    <w:p w14:paraId="552CA985" w14:textId="77777777" w:rsidR="000E51EC" w:rsidRDefault="00B57067">
      <w:pPr>
        <w:pBdr>
          <w:top w:val="nil"/>
          <w:left w:val="nil"/>
          <w:bottom w:val="nil"/>
          <w:right w:val="nil"/>
          <w:between w:val="nil"/>
        </w:pBdr>
        <w:rPr>
          <w:color w:val="000000"/>
        </w:rPr>
      </w:pPr>
      <w:r>
        <w:rPr>
          <w:color w:val="000000"/>
        </w:rPr>
        <w:t xml:space="preserve">The annual open enrollment process is announced by the Department to school divisions through a Superintendent’s Memorandum at a time determined by the Department, including establishing the specific beginning and end dates of the open enrollment application period. Literary Fund </w:t>
      </w:r>
      <w:r>
        <w:lastRenderedPageBreak/>
        <w:t xml:space="preserve">loan applications not submitted by the established open enrollment period deadline may be disqualified from consideration. </w:t>
      </w:r>
      <w:r>
        <w:rPr>
          <w:color w:val="000000"/>
        </w:rPr>
        <w:t xml:space="preserve">The Department will prioritize conducting the open enrollment process as early as possible each fiscal year. School divisions will use an online application form to apply for loans during the open enrollment period, which may be downloaded from the Department’s Literary Fund webpage at: </w:t>
      </w:r>
      <w:hyperlink r:id="rId8">
        <w:r>
          <w:rPr>
            <w:color w:val="003B71"/>
            <w:u w:val="single"/>
          </w:rPr>
          <w:t>Literary Fund Application Form Webpage</w:t>
        </w:r>
      </w:hyperlink>
      <w:r>
        <w:rPr>
          <w:color w:val="000000"/>
        </w:rPr>
        <w:t>.</w:t>
      </w:r>
    </w:p>
    <w:p w14:paraId="2D703E9E" w14:textId="77777777" w:rsidR="000E51EC" w:rsidRDefault="000E51EC">
      <w:pPr>
        <w:pBdr>
          <w:top w:val="nil"/>
          <w:left w:val="nil"/>
          <w:bottom w:val="nil"/>
          <w:right w:val="nil"/>
          <w:between w:val="nil"/>
        </w:pBdr>
      </w:pPr>
    </w:p>
    <w:p w14:paraId="461F0213" w14:textId="77777777" w:rsidR="000E51EC" w:rsidRDefault="00B57067">
      <w:pPr>
        <w:pBdr>
          <w:top w:val="nil"/>
          <w:left w:val="nil"/>
          <w:bottom w:val="nil"/>
          <w:right w:val="nil"/>
          <w:between w:val="nil"/>
        </w:pBdr>
        <w:rPr>
          <w:color w:val="000000"/>
        </w:rPr>
      </w:pPr>
      <w:r>
        <w:rPr>
          <w:color w:val="000000"/>
        </w:rPr>
        <w:t xml:space="preserve">After the open enrollment application period has closed, approvable loan applications are considered by the Board for funding. All </w:t>
      </w:r>
      <w:r>
        <w:t xml:space="preserve">statutory and regulatory requirements must be met for an application to be considered for loan funding. </w:t>
      </w:r>
      <w:r>
        <w:rPr>
          <w:color w:val="000000"/>
        </w:rPr>
        <w:t xml:space="preserve">Priority for funding is based primarily on the local composite index of ability-to-pay </w:t>
      </w:r>
      <w:r>
        <w:t>of the applying school divisions</w:t>
      </w:r>
      <w:r>
        <w:rPr>
          <w:color w:val="000000"/>
        </w:rPr>
        <w:t>. After the Department review period is completed, a</w:t>
      </w:r>
      <w:r>
        <w:t xml:space="preserve"> Board meeting agenda item is created identifying recommended applications for loan funding, subject to availability of funding. </w:t>
      </w:r>
      <w:r>
        <w:rPr>
          <w:color w:val="000000"/>
        </w:rPr>
        <w:t>School construction loans are awarded by the Board through a Board action item at a monthly business meeting of the Board.</w:t>
      </w:r>
    </w:p>
    <w:p w14:paraId="2E9F621A" w14:textId="77777777" w:rsidR="000E51EC" w:rsidRDefault="000E51EC">
      <w:pPr>
        <w:pBdr>
          <w:top w:val="nil"/>
          <w:left w:val="nil"/>
          <w:bottom w:val="nil"/>
          <w:right w:val="nil"/>
          <w:between w:val="nil"/>
        </w:pBdr>
        <w:rPr>
          <w:color w:val="000000"/>
        </w:rPr>
      </w:pPr>
    </w:p>
    <w:p w14:paraId="33835910" w14:textId="77777777" w:rsidR="000E51EC" w:rsidRDefault="00B57067">
      <w:pPr>
        <w:pBdr>
          <w:top w:val="nil"/>
          <w:left w:val="nil"/>
          <w:bottom w:val="nil"/>
          <w:right w:val="nil"/>
          <w:between w:val="nil"/>
        </w:pBdr>
        <w:rPr>
          <w:color w:val="000000"/>
        </w:rPr>
      </w:pPr>
      <w:r>
        <w:rPr>
          <w:color w:val="000000"/>
        </w:rPr>
        <w:t xml:space="preserve">The Board may also consider other critical school projects submitted during the open enrollment process to receive priority for loan funding if the Board finds that a critical need exists related to the project and such prioritization is justified. Reasons for such prioritization may </w:t>
      </w:r>
      <w:proofErr w:type="gramStart"/>
      <w:r>
        <w:rPr>
          <w:color w:val="000000"/>
        </w:rPr>
        <w:t>include, but</w:t>
      </w:r>
      <w:proofErr w:type="gramEnd"/>
      <w:r>
        <w:rPr>
          <w:color w:val="000000"/>
        </w:rPr>
        <w:t xml:space="preserve"> are not limited to: (</w:t>
      </w:r>
      <w:proofErr w:type="spellStart"/>
      <w:r>
        <w:rPr>
          <w:color w:val="000000"/>
        </w:rPr>
        <w:t>i</w:t>
      </w:r>
      <w:proofErr w:type="spellEnd"/>
      <w:r>
        <w:rPr>
          <w:color w:val="000000"/>
        </w:rPr>
        <w:t>) hazardous materials or substances containment or removal or other environmental health factors, (ii) significant building safety issues or structural defects, (iii) effects of natural disasters, and (iv) unique circumstances that may be detrimental to education in the absence of a Literary Fund loan. Such prioritization shall be acted on by the Board on an individual application basis when all requirements for release of a Literary Fund loan have been met by the school division.</w:t>
      </w:r>
    </w:p>
    <w:p w14:paraId="50FC7794" w14:textId="77777777" w:rsidR="000E51EC" w:rsidRDefault="000E51EC">
      <w:pPr>
        <w:pBdr>
          <w:top w:val="nil"/>
          <w:left w:val="nil"/>
          <w:bottom w:val="nil"/>
          <w:right w:val="nil"/>
          <w:between w:val="nil"/>
        </w:pBdr>
        <w:rPr>
          <w:color w:val="000000"/>
        </w:rPr>
      </w:pPr>
    </w:p>
    <w:p w14:paraId="00844E86" w14:textId="77777777" w:rsidR="000E51EC" w:rsidRDefault="00B57067">
      <w:pPr>
        <w:pBdr>
          <w:top w:val="nil"/>
          <w:left w:val="nil"/>
          <w:bottom w:val="nil"/>
          <w:right w:val="nil"/>
          <w:between w:val="nil"/>
        </w:pBdr>
        <w:rPr>
          <w:color w:val="000000"/>
        </w:rPr>
      </w:pPr>
      <w:r>
        <w:rPr>
          <w:b/>
          <w:smallCaps/>
          <w:color w:val="000000"/>
          <w:sz w:val="36"/>
          <w:szCs w:val="36"/>
        </w:rPr>
        <w:t>M</w:t>
      </w:r>
      <w:r>
        <w:rPr>
          <w:b/>
          <w:smallCaps/>
          <w:sz w:val="36"/>
          <w:szCs w:val="36"/>
        </w:rPr>
        <w:t>aximum</w:t>
      </w:r>
      <w:r>
        <w:rPr>
          <w:b/>
          <w:smallCaps/>
          <w:color w:val="000000"/>
          <w:sz w:val="36"/>
          <w:szCs w:val="36"/>
        </w:rPr>
        <w:t xml:space="preserve"> L</w:t>
      </w:r>
      <w:r>
        <w:rPr>
          <w:b/>
          <w:smallCaps/>
          <w:sz w:val="36"/>
          <w:szCs w:val="36"/>
        </w:rPr>
        <w:t>oan</w:t>
      </w:r>
      <w:r>
        <w:rPr>
          <w:b/>
          <w:smallCaps/>
          <w:color w:val="000000"/>
          <w:sz w:val="36"/>
          <w:szCs w:val="36"/>
        </w:rPr>
        <w:t xml:space="preserve"> A</w:t>
      </w:r>
      <w:r>
        <w:rPr>
          <w:b/>
          <w:smallCaps/>
          <w:sz w:val="36"/>
          <w:szCs w:val="36"/>
        </w:rPr>
        <w:t>mount</w:t>
      </w:r>
      <w:r>
        <w:rPr>
          <w:b/>
          <w:smallCaps/>
          <w:color w:val="000000"/>
          <w:sz w:val="36"/>
          <w:szCs w:val="36"/>
        </w:rPr>
        <w:t xml:space="preserve"> </w:t>
      </w:r>
      <w:r>
        <w:rPr>
          <w:b/>
          <w:smallCaps/>
          <w:sz w:val="36"/>
          <w:szCs w:val="36"/>
        </w:rPr>
        <w:t>per</w:t>
      </w:r>
      <w:r>
        <w:rPr>
          <w:b/>
          <w:smallCaps/>
          <w:color w:val="000000"/>
          <w:sz w:val="36"/>
          <w:szCs w:val="36"/>
        </w:rPr>
        <w:t xml:space="preserve"> P</w:t>
      </w:r>
      <w:r>
        <w:rPr>
          <w:b/>
          <w:smallCaps/>
          <w:sz w:val="36"/>
          <w:szCs w:val="36"/>
        </w:rPr>
        <w:t>roject</w:t>
      </w:r>
    </w:p>
    <w:p w14:paraId="6EC5116A" w14:textId="77777777" w:rsidR="000E51EC" w:rsidRDefault="00B57067">
      <w:pPr>
        <w:pBdr>
          <w:top w:val="nil"/>
          <w:left w:val="nil"/>
          <w:bottom w:val="nil"/>
          <w:right w:val="nil"/>
          <w:between w:val="nil"/>
        </w:pBdr>
        <w:rPr>
          <w:color w:val="000000"/>
        </w:rPr>
      </w:pPr>
      <w:r>
        <w:rPr>
          <w:color w:val="000000"/>
        </w:rPr>
        <w:t xml:space="preserve">The maximum Literary Fund loan amount per project that may be applied for during the open enrollment period is $25.0 million, subject to available funding and Board review and approval. The Board may reduce loan requests for final approval if the sum of approvable requests exceeds available funding or </w:t>
      </w:r>
      <w:proofErr w:type="gramStart"/>
      <w:r>
        <w:rPr>
          <w:color w:val="000000"/>
        </w:rPr>
        <w:t>in order to</w:t>
      </w:r>
      <w:proofErr w:type="gramEnd"/>
      <w:r>
        <w:rPr>
          <w:color w:val="000000"/>
        </w:rPr>
        <w:t xml:space="preserve"> provide equitable loan funding for projects with similar circumstances and </w:t>
      </w:r>
      <w:r>
        <w:t>needs</w:t>
      </w:r>
      <w:r>
        <w:rPr>
          <w:color w:val="000000"/>
        </w:rPr>
        <w:t>.</w:t>
      </w:r>
    </w:p>
    <w:p w14:paraId="193A0C31" w14:textId="77777777" w:rsidR="000E51EC" w:rsidRDefault="000E51EC">
      <w:pPr>
        <w:pBdr>
          <w:top w:val="nil"/>
          <w:left w:val="nil"/>
          <w:bottom w:val="nil"/>
          <w:right w:val="nil"/>
          <w:between w:val="nil"/>
        </w:pBdr>
        <w:rPr>
          <w:b/>
          <w:smallCaps/>
          <w:color w:val="000000"/>
        </w:rPr>
      </w:pPr>
    </w:p>
    <w:p w14:paraId="62F27C68" w14:textId="77777777" w:rsidR="000E51EC" w:rsidRDefault="00B57067">
      <w:pPr>
        <w:pBdr>
          <w:top w:val="nil"/>
          <w:left w:val="nil"/>
          <w:bottom w:val="nil"/>
          <w:right w:val="nil"/>
          <w:between w:val="nil"/>
        </w:pBdr>
        <w:rPr>
          <w:color w:val="000000"/>
        </w:rPr>
      </w:pPr>
      <w:r>
        <w:rPr>
          <w:b/>
          <w:smallCaps/>
          <w:color w:val="000000"/>
          <w:sz w:val="36"/>
          <w:szCs w:val="36"/>
        </w:rPr>
        <w:t>B</w:t>
      </w:r>
      <w:r>
        <w:rPr>
          <w:b/>
          <w:smallCaps/>
          <w:sz w:val="36"/>
          <w:szCs w:val="36"/>
        </w:rPr>
        <w:t>enchmarking</w:t>
      </w:r>
      <w:r>
        <w:rPr>
          <w:b/>
          <w:smallCaps/>
          <w:color w:val="000000"/>
          <w:sz w:val="36"/>
          <w:szCs w:val="36"/>
        </w:rPr>
        <w:t xml:space="preserve"> L</w:t>
      </w:r>
      <w:r>
        <w:rPr>
          <w:b/>
          <w:smallCaps/>
          <w:sz w:val="36"/>
          <w:szCs w:val="36"/>
        </w:rPr>
        <w:t>oan</w:t>
      </w:r>
      <w:r>
        <w:rPr>
          <w:b/>
          <w:smallCaps/>
          <w:color w:val="000000"/>
          <w:sz w:val="36"/>
          <w:szCs w:val="36"/>
        </w:rPr>
        <w:t xml:space="preserve"> R</w:t>
      </w:r>
      <w:r>
        <w:rPr>
          <w:b/>
          <w:smallCaps/>
          <w:sz w:val="36"/>
          <w:szCs w:val="36"/>
        </w:rPr>
        <w:t>ates</w:t>
      </w:r>
      <w:r>
        <w:rPr>
          <w:b/>
          <w:smallCaps/>
          <w:color w:val="000000"/>
          <w:sz w:val="36"/>
          <w:szCs w:val="36"/>
        </w:rPr>
        <w:t xml:space="preserve"> </w:t>
      </w:r>
      <w:r>
        <w:rPr>
          <w:b/>
          <w:smallCaps/>
          <w:sz w:val="36"/>
          <w:szCs w:val="36"/>
        </w:rPr>
        <w:t>to</w:t>
      </w:r>
      <w:r>
        <w:rPr>
          <w:b/>
          <w:smallCaps/>
          <w:color w:val="000000"/>
          <w:sz w:val="36"/>
          <w:szCs w:val="36"/>
        </w:rPr>
        <w:t xml:space="preserve"> </w:t>
      </w:r>
      <w:r>
        <w:rPr>
          <w:b/>
          <w:smallCaps/>
          <w:sz w:val="36"/>
          <w:szCs w:val="36"/>
        </w:rPr>
        <w:t>a</w:t>
      </w:r>
      <w:r>
        <w:rPr>
          <w:b/>
          <w:smallCaps/>
          <w:color w:val="000000"/>
          <w:sz w:val="36"/>
          <w:szCs w:val="36"/>
        </w:rPr>
        <w:t xml:space="preserve"> M</w:t>
      </w:r>
      <w:r>
        <w:rPr>
          <w:b/>
          <w:smallCaps/>
          <w:sz w:val="36"/>
          <w:szCs w:val="36"/>
        </w:rPr>
        <w:t>arket</w:t>
      </w:r>
      <w:r>
        <w:rPr>
          <w:b/>
          <w:smallCaps/>
          <w:color w:val="000000"/>
          <w:sz w:val="36"/>
          <w:szCs w:val="36"/>
        </w:rPr>
        <w:t xml:space="preserve"> I</w:t>
      </w:r>
      <w:r>
        <w:rPr>
          <w:b/>
          <w:smallCaps/>
          <w:sz w:val="36"/>
          <w:szCs w:val="36"/>
        </w:rPr>
        <w:t>ndex</w:t>
      </w:r>
    </w:p>
    <w:p w14:paraId="0B9B7C00" w14:textId="77777777" w:rsidR="000E51EC" w:rsidRPr="000E76C0" w:rsidRDefault="00B57067">
      <w:pPr>
        <w:pBdr>
          <w:top w:val="nil"/>
          <w:left w:val="nil"/>
          <w:bottom w:val="nil"/>
          <w:right w:val="nil"/>
          <w:between w:val="nil"/>
        </w:pBdr>
        <w:rPr>
          <w:color w:val="000000"/>
        </w:rPr>
      </w:pPr>
      <w:r w:rsidRPr="000E76C0">
        <w:rPr>
          <w:color w:val="000000"/>
        </w:rPr>
        <w:t>Department staff will consult with the Department of the Treasury staff to establish loan interest rates that are benchmarked to a market index on an annual basis, but not to exceed 2.0 percent interest for the tier of localities with a school division local composite index of ability-to-pay between 0.0000 and 0.2999.</w:t>
      </w:r>
    </w:p>
    <w:p w14:paraId="66F0B3C9" w14:textId="77777777" w:rsidR="000E51EC" w:rsidRPr="00D12E8A" w:rsidRDefault="000E51EC">
      <w:pPr>
        <w:pBdr>
          <w:top w:val="nil"/>
          <w:left w:val="nil"/>
          <w:bottom w:val="nil"/>
          <w:right w:val="nil"/>
          <w:between w:val="nil"/>
        </w:pBdr>
        <w:rPr>
          <w:color w:val="000000"/>
          <w:highlight w:val="yellow"/>
        </w:rPr>
      </w:pPr>
    </w:p>
    <w:p w14:paraId="3B2E112B" w14:textId="77777777" w:rsidR="000E51EC" w:rsidRPr="000E76C0" w:rsidRDefault="00B57067">
      <w:pPr>
        <w:pBdr>
          <w:top w:val="nil"/>
          <w:left w:val="nil"/>
          <w:bottom w:val="nil"/>
          <w:right w:val="nil"/>
          <w:between w:val="nil"/>
        </w:pBdr>
        <w:rPr>
          <w:color w:val="000000"/>
        </w:rPr>
      </w:pPr>
      <w:r w:rsidRPr="000E76C0">
        <w:t>Following</w:t>
      </w:r>
      <w:r w:rsidRPr="000E76C0">
        <w:rPr>
          <w:color w:val="000000"/>
        </w:rPr>
        <w:t xml:space="preserve"> Department staff consultation with the Department of the Treasury, the annual market index benchmark rate established is the 20-year BVAL Callable Municipal Curve (“BVAL Callable”) rate (source: Bloomberg). This rate is based on callable AAA-rated securities in the municipal bond market. The 20-year BVAL Callable rate aligns to the 20-year term for most Literary Fund loans, and the use of callable securities (i</w:t>
      </w:r>
      <w:r w:rsidRPr="000E76C0">
        <w:t xml:space="preserve">.e., those that can be </w:t>
      </w:r>
      <w:r w:rsidRPr="000E76C0">
        <w:rPr>
          <w:color w:val="000000"/>
        </w:rPr>
        <w:t xml:space="preserve">redeemed or paid off </w:t>
      </w:r>
      <w:r w:rsidRPr="000E76C0">
        <w:t>prior to</w:t>
      </w:r>
      <w:r w:rsidRPr="000E76C0">
        <w:rPr>
          <w:color w:val="000000"/>
        </w:rPr>
        <w:t xml:space="preserve"> their maturity date) in the benchmark aligns to the early payoff feature allowed for Literary Fund loans.</w:t>
      </w:r>
    </w:p>
    <w:p w14:paraId="71556EB7" w14:textId="77777777" w:rsidR="000E51EC" w:rsidRPr="00D12E8A" w:rsidRDefault="000E51EC">
      <w:pPr>
        <w:pBdr>
          <w:top w:val="nil"/>
          <w:left w:val="nil"/>
          <w:bottom w:val="nil"/>
          <w:right w:val="nil"/>
          <w:between w:val="nil"/>
        </w:pBdr>
        <w:rPr>
          <w:color w:val="000000"/>
          <w:highlight w:val="yellow"/>
        </w:rPr>
      </w:pPr>
    </w:p>
    <w:p w14:paraId="75856959" w14:textId="28CD6C2D" w:rsidR="000E51EC" w:rsidRPr="00CE7554" w:rsidRDefault="00B57067">
      <w:pPr>
        <w:pBdr>
          <w:top w:val="nil"/>
          <w:left w:val="nil"/>
          <w:bottom w:val="nil"/>
          <w:right w:val="nil"/>
          <w:between w:val="nil"/>
        </w:pBdr>
        <w:rPr>
          <w:color w:val="000000"/>
        </w:rPr>
      </w:pPr>
      <w:r w:rsidRPr="00CE7554">
        <w:rPr>
          <w:color w:val="000000"/>
        </w:rPr>
        <w:lastRenderedPageBreak/>
        <w:t xml:space="preserve">The 20-year BVAL Callable rate is produced and </w:t>
      </w:r>
      <w:r w:rsidRPr="00CE7554">
        <w:t xml:space="preserve">listed </w:t>
      </w:r>
      <w:r w:rsidRPr="00CE7554">
        <w:rPr>
          <w:color w:val="000000"/>
        </w:rPr>
        <w:t xml:space="preserve">hourly. </w:t>
      </w:r>
      <w:r w:rsidRPr="00CE7554">
        <w:t>Since</w:t>
      </w:r>
      <w:r w:rsidRPr="00CE7554">
        <w:rPr>
          <w:color w:val="000000"/>
        </w:rPr>
        <w:t xml:space="preserve"> the Chapter 2 budget lang</w:t>
      </w:r>
      <w:r w:rsidRPr="00CE7554">
        <w:t xml:space="preserve">uage </w:t>
      </w:r>
      <w:r w:rsidRPr="00CE7554">
        <w:rPr>
          <w:color w:val="000000"/>
        </w:rPr>
        <w:t>directs</w:t>
      </w:r>
      <w:r w:rsidRPr="00CE7554">
        <w:t xml:space="preserve"> that</w:t>
      </w:r>
      <w:r w:rsidRPr="00CE7554">
        <w:rPr>
          <w:color w:val="000000"/>
        </w:rPr>
        <w:t xml:space="preserve"> Literary Fun</w:t>
      </w:r>
      <w:r w:rsidRPr="00CE7554">
        <w:t xml:space="preserve">d loan </w:t>
      </w:r>
      <w:r w:rsidRPr="00CE7554">
        <w:rPr>
          <w:color w:val="000000"/>
        </w:rPr>
        <w:t xml:space="preserve">interest rates be "benchmarked to a market index on an annual basis," the </w:t>
      </w:r>
      <w:r w:rsidRPr="00CE7554">
        <w:t xml:space="preserve">latest </w:t>
      </w:r>
      <w:r w:rsidRPr="00CE7554">
        <w:rPr>
          <w:color w:val="000000"/>
        </w:rPr>
        <w:t>20-year BVAL Callable hourly rate practically av</w:t>
      </w:r>
      <w:r w:rsidRPr="00CE7554">
        <w:t xml:space="preserve">ailable at the time the </w:t>
      </w:r>
      <w:r w:rsidR="00CE7554" w:rsidRPr="00CE7554">
        <w:t>VDOE Education Update newsletter article</w:t>
      </w:r>
      <w:r w:rsidRPr="00CE7554">
        <w:t xml:space="preserve"> announcing each open enrollment application period is posted will be </w:t>
      </w:r>
      <w:r w:rsidRPr="00CE7554">
        <w:rPr>
          <w:color w:val="000000"/>
        </w:rPr>
        <w:t xml:space="preserve">used as the annual market index benchmark rate for Literary Fund loans awarded and closed </w:t>
      </w:r>
      <w:r w:rsidRPr="00CE7554">
        <w:t>for that open enrollment application cycle.</w:t>
      </w:r>
    </w:p>
    <w:p w14:paraId="1A2779BD" w14:textId="77777777" w:rsidR="000E51EC" w:rsidRPr="00D12E8A" w:rsidRDefault="000E51EC">
      <w:pPr>
        <w:pBdr>
          <w:top w:val="nil"/>
          <w:left w:val="nil"/>
          <w:bottom w:val="nil"/>
          <w:right w:val="nil"/>
          <w:between w:val="nil"/>
        </w:pBdr>
        <w:rPr>
          <w:color w:val="000000"/>
          <w:highlight w:val="yellow"/>
        </w:rPr>
      </w:pPr>
    </w:p>
    <w:p w14:paraId="77760B9E" w14:textId="1284FB98" w:rsidR="000E51EC" w:rsidRPr="006E77A0" w:rsidRDefault="00B57067">
      <w:pPr>
        <w:pBdr>
          <w:top w:val="nil"/>
          <w:left w:val="nil"/>
          <w:bottom w:val="nil"/>
          <w:right w:val="nil"/>
          <w:between w:val="nil"/>
        </w:pBdr>
        <w:rPr>
          <w:color w:val="000000"/>
        </w:rPr>
      </w:pPr>
      <w:r w:rsidRPr="006E77A0">
        <w:rPr>
          <w:color w:val="000000"/>
        </w:rPr>
        <w:t xml:space="preserve">The primary purpose of the Literary Fund is to provide accessible, </w:t>
      </w:r>
      <w:r w:rsidR="00E01119" w:rsidRPr="006E77A0">
        <w:rPr>
          <w:color w:val="000000"/>
        </w:rPr>
        <w:t>low-cost</w:t>
      </w:r>
      <w:r w:rsidRPr="006E77A0">
        <w:rPr>
          <w:color w:val="000000"/>
        </w:rPr>
        <w:t xml:space="preserve"> financing for public school construction and renovation projects based on local need and </w:t>
      </w:r>
      <w:r w:rsidRPr="006E77A0">
        <w:t>available resources</w:t>
      </w:r>
      <w:r w:rsidRPr="006E77A0">
        <w:rPr>
          <w:color w:val="000000"/>
        </w:rPr>
        <w:t>. In addition, current Board regulations at 8VAC20-100-140 allow for interest rates on Literary Fund loans of between 2.0 and 6.0 percent based on the local composite index of ability-to-pay. Further, new appropriation act language specifically allows for a 2.0 percent interest rate cap on loans for localities with the lowest composite indices</w:t>
      </w:r>
      <w:r w:rsidRPr="006E77A0">
        <w:t xml:space="preserve"> (i.e., up to 0.2999)</w:t>
      </w:r>
      <w:r w:rsidRPr="006E77A0">
        <w:rPr>
          <w:color w:val="000000"/>
        </w:rPr>
        <w:t>. These rate provisions are used in combination with the annual market ind</w:t>
      </w:r>
      <w:r w:rsidRPr="006E77A0">
        <w:t xml:space="preserve">ex </w:t>
      </w:r>
      <w:r w:rsidRPr="006E77A0">
        <w:rPr>
          <w:color w:val="000000"/>
        </w:rPr>
        <w:t>benchmark rate in establishing the interest rate structure to be used for awarded loans.</w:t>
      </w:r>
    </w:p>
    <w:p w14:paraId="06A8A2F0" w14:textId="77777777" w:rsidR="000E51EC" w:rsidRPr="00D12E8A" w:rsidRDefault="000E51EC">
      <w:pPr>
        <w:pBdr>
          <w:top w:val="nil"/>
          <w:left w:val="nil"/>
          <w:bottom w:val="nil"/>
          <w:right w:val="nil"/>
          <w:between w:val="nil"/>
        </w:pBdr>
        <w:rPr>
          <w:color w:val="000000"/>
          <w:highlight w:val="yellow"/>
        </w:rPr>
      </w:pPr>
    </w:p>
    <w:p w14:paraId="52ED6C8D" w14:textId="113AA963" w:rsidR="00251A15" w:rsidRDefault="00B57067">
      <w:pPr>
        <w:pBdr>
          <w:top w:val="nil"/>
          <w:left w:val="nil"/>
          <w:bottom w:val="nil"/>
          <w:right w:val="nil"/>
          <w:between w:val="nil"/>
        </w:pBdr>
        <w:rPr>
          <w:color w:val="000000"/>
        </w:rPr>
      </w:pPr>
      <w:r w:rsidRPr="00215546">
        <w:rPr>
          <w:color w:val="000000"/>
        </w:rPr>
        <w:t>For Literary Fund loan applications submitted during the annual open enrollment process and approved by the Board to receive a loan, the interest rate on the loan is based on the lesser of the annual market index benchmark rate or the rates provided under current Board regulation as determined by the composite index of ability-to-pay</w:t>
      </w:r>
      <w:r w:rsidR="00251A15">
        <w:rPr>
          <w:color w:val="000000"/>
        </w:rPr>
        <w:t>. This combined with consultation between Department of Education and Department of Treasury staff to develop a loan interest rate schedule to align with the budget directive from Item 125, Paragraph C.13.b.3) of the Chapter 2 budget enacted in the 2024 Special Session I</w:t>
      </w:r>
      <w:r w:rsidR="00B34E60">
        <w:rPr>
          <w:color w:val="000000"/>
        </w:rPr>
        <w:t xml:space="preserve"> General Assembly</w:t>
      </w:r>
      <w:r w:rsidR="00251A15">
        <w:rPr>
          <w:color w:val="000000"/>
        </w:rPr>
        <w:t>:</w:t>
      </w:r>
    </w:p>
    <w:p w14:paraId="7E13D1F8" w14:textId="77777777" w:rsidR="00B34E60" w:rsidRDefault="00B34E60">
      <w:pPr>
        <w:pBdr>
          <w:top w:val="nil"/>
          <w:left w:val="nil"/>
          <w:bottom w:val="nil"/>
          <w:right w:val="nil"/>
          <w:between w:val="nil"/>
        </w:pBdr>
        <w:rPr>
          <w:color w:val="000000"/>
        </w:rPr>
      </w:pPr>
    </w:p>
    <w:p w14:paraId="4837EDF3" w14:textId="5D25FA6D" w:rsidR="00251A15" w:rsidRDefault="00251A15" w:rsidP="00251A15">
      <w:pPr>
        <w:pStyle w:val="ListParagraph"/>
        <w:numPr>
          <w:ilvl w:val="0"/>
          <w:numId w:val="3"/>
        </w:numPr>
        <w:pBdr>
          <w:top w:val="nil"/>
          <w:left w:val="nil"/>
          <w:bottom w:val="nil"/>
          <w:right w:val="nil"/>
          <w:between w:val="nil"/>
        </w:pBdr>
        <w:rPr>
          <w:color w:val="000000"/>
        </w:rPr>
      </w:pPr>
      <w:r w:rsidRPr="00AC27F6">
        <w:rPr>
          <w:color w:val="000000"/>
        </w:rPr>
        <w:t xml:space="preserve">The elements integrated into the rate schedule included the establishment of a “discount rate” of </w:t>
      </w:r>
      <w:proofErr w:type="gramStart"/>
      <w:r w:rsidRPr="00251A15">
        <w:rPr>
          <w:color w:val="000000"/>
        </w:rPr>
        <w:t>0.05%</w:t>
      </w:r>
      <w:r>
        <w:rPr>
          <w:color w:val="000000"/>
        </w:rPr>
        <w:t>;</w:t>
      </w:r>
      <w:proofErr w:type="gramEnd"/>
    </w:p>
    <w:p w14:paraId="4B97037C" w14:textId="1280E96C" w:rsidR="00251A15" w:rsidRDefault="00251A15" w:rsidP="00251A15">
      <w:pPr>
        <w:pStyle w:val="ListParagraph"/>
        <w:numPr>
          <w:ilvl w:val="0"/>
          <w:numId w:val="3"/>
        </w:numPr>
        <w:pBdr>
          <w:top w:val="nil"/>
          <w:left w:val="nil"/>
          <w:bottom w:val="nil"/>
          <w:right w:val="nil"/>
          <w:between w:val="nil"/>
        </w:pBdr>
        <w:rPr>
          <w:color w:val="000000"/>
        </w:rPr>
      </w:pPr>
      <w:r>
        <w:rPr>
          <w:color w:val="000000"/>
        </w:rPr>
        <w:t>C</w:t>
      </w:r>
      <w:r w:rsidRPr="00AC27F6">
        <w:rPr>
          <w:color w:val="000000"/>
        </w:rPr>
        <w:t xml:space="preserve">ontinued use of the Composite Index tiers or ranges as outlined in Board regulations and guidelines, establishment of an initial multiplier of one for the highest Composite Index tier and then applying a “geometric increase factor” of the two to provide a successively higher multiplier as the Composite Index tier </w:t>
      </w:r>
      <w:proofErr w:type="gramStart"/>
      <w:r w:rsidRPr="00AC27F6">
        <w:rPr>
          <w:color w:val="000000"/>
        </w:rPr>
        <w:t>decreases</w:t>
      </w:r>
      <w:r>
        <w:rPr>
          <w:color w:val="000000"/>
        </w:rPr>
        <w:t>;</w:t>
      </w:r>
      <w:proofErr w:type="gramEnd"/>
    </w:p>
    <w:p w14:paraId="3C0AE667" w14:textId="6DFDA9FF" w:rsidR="00E166DB" w:rsidRDefault="00E166DB" w:rsidP="00251A15">
      <w:pPr>
        <w:pStyle w:val="ListParagraph"/>
        <w:numPr>
          <w:ilvl w:val="0"/>
          <w:numId w:val="3"/>
        </w:numPr>
        <w:pBdr>
          <w:top w:val="nil"/>
          <w:left w:val="nil"/>
          <w:bottom w:val="nil"/>
          <w:right w:val="nil"/>
          <w:between w:val="nil"/>
        </w:pBdr>
        <w:rPr>
          <w:color w:val="000000"/>
        </w:rPr>
      </w:pPr>
      <w:r>
        <w:rPr>
          <w:color w:val="000000"/>
        </w:rPr>
        <w:t xml:space="preserve">Multiplies the multiplier for each Composite Index tier by the discount rate to arrive at a total “multiplied discount rate” for each </w:t>
      </w:r>
      <w:proofErr w:type="gramStart"/>
      <w:r>
        <w:rPr>
          <w:color w:val="000000"/>
        </w:rPr>
        <w:t>tier;</w:t>
      </w:r>
      <w:proofErr w:type="gramEnd"/>
    </w:p>
    <w:p w14:paraId="66EDE598" w14:textId="76879F62" w:rsidR="00E166DB" w:rsidRDefault="00251A15" w:rsidP="00251A15">
      <w:pPr>
        <w:pStyle w:val="ListParagraph"/>
        <w:numPr>
          <w:ilvl w:val="0"/>
          <w:numId w:val="3"/>
        </w:numPr>
        <w:pBdr>
          <w:top w:val="nil"/>
          <w:left w:val="nil"/>
          <w:bottom w:val="nil"/>
          <w:right w:val="nil"/>
          <w:between w:val="nil"/>
        </w:pBdr>
        <w:rPr>
          <w:color w:val="000000"/>
        </w:rPr>
      </w:pPr>
      <w:r>
        <w:rPr>
          <w:color w:val="000000"/>
        </w:rPr>
        <w:t>Deducts the “</w:t>
      </w:r>
      <w:r w:rsidR="00E166DB">
        <w:rPr>
          <w:color w:val="000000"/>
        </w:rPr>
        <w:t>multiplied</w:t>
      </w:r>
      <w:r>
        <w:rPr>
          <w:color w:val="000000"/>
        </w:rPr>
        <w:t xml:space="preserve"> discount rate” for each Composite Index tier from the market interest rate to determine an increas</w:t>
      </w:r>
      <w:r w:rsidR="00E166DB">
        <w:rPr>
          <w:color w:val="000000"/>
        </w:rPr>
        <w:t xml:space="preserve">ed discounted loan interest rate for each tier; and, </w:t>
      </w:r>
    </w:p>
    <w:p w14:paraId="0E668610" w14:textId="77777777" w:rsidR="00E166DB" w:rsidRDefault="00E166DB" w:rsidP="00251A15">
      <w:pPr>
        <w:pStyle w:val="ListParagraph"/>
        <w:numPr>
          <w:ilvl w:val="0"/>
          <w:numId w:val="3"/>
        </w:numPr>
        <w:pBdr>
          <w:top w:val="nil"/>
          <w:left w:val="nil"/>
          <w:bottom w:val="nil"/>
          <w:right w:val="nil"/>
          <w:between w:val="nil"/>
        </w:pBdr>
        <w:rPr>
          <w:color w:val="000000"/>
        </w:rPr>
      </w:pPr>
      <w:r>
        <w:rPr>
          <w:color w:val="000000"/>
        </w:rPr>
        <w:t>For the final, eligible loan interest rates for each Composite Index tier, provides the lower of the rate determined in step 3 above or the default interest rate assigned to each tier in the Board regulations and guidelines (i.e., 2.0 percent to 6.0 percent).</w:t>
      </w:r>
    </w:p>
    <w:p w14:paraId="5A38B8C7" w14:textId="77777777" w:rsidR="00E166DB" w:rsidRDefault="00E166DB" w:rsidP="00E166DB">
      <w:pPr>
        <w:pStyle w:val="ListParagraph"/>
        <w:pBdr>
          <w:top w:val="nil"/>
          <w:left w:val="nil"/>
          <w:bottom w:val="nil"/>
          <w:right w:val="nil"/>
          <w:between w:val="nil"/>
        </w:pBdr>
        <w:rPr>
          <w:color w:val="000000"/>
        </w:rPr>
      </w:pPr>
    </w:p>
    <w:p w14:paraId="79057769" w14:textId="77777777" w:rsidR="00B34E60" w:rsidRDefault="00B34E60">
      <w:pPr>
        <w:rPr>
          <w:color w:val="000000"/>
        </w:rPr>
      </w:pPr>
      <w:r>
        <w:rPr>
          <w:color w:val="000000"/>
        </w:rPr>
        <w:br w:type="page"/>
      </w:r>
    </w:p>
    <w:p w14:paraId="0E7F9274" w14:textId="596B00AB" w:rsidR="000E51EC" w:rsidRPr="00AC27F6" w:rsidRDefault="00E166DB" w:rsidP="00AC27F6">
      <w:pPr>
        <w:pStyle w:val="ListParagraph"/>
        <w:pBdr>
          <w:top w:val="nil"/>
          <w:left w:val="nil"/>
          <w:bottom w:val="nil"/>
          <w:right w:val="nil"/>
          <w:between w:val="nil"/>
        </w:pBdr>
        <w:rPr>
          <w:color w:val="000000"/>
        </w:rPr>
      </w:pPr>
      <w:r>
        <w:rPr>
          <w:color w:val="000000"/>
        </w:rPr>
        <w:lastRenderedPageBreak/>
        <w:t xml:space="preserve">In the chart below you will see the </w:t>
      </w:r>
      <w:r w:rsidR="00AC27F6">
        <w:rPr>
          <w:color w:val="000000"/>
        </w:rPr>
        <w:t>multiplied</w:t>
      </w:r>
      <w:r>
        <w:rPr>
          <w:color w:val="000000"/>
        </w:rPr>
        <w:t xml:space="preserve"> discount rate for each tier and</w:t>
      </w:r>
      <w:r w:rsidR="00B57067" w:rsidRPr="00AC27F6">
        <w:rPr>
          <w:color w:val="000000"/>
        </w:rPr>
        <w:t>:</w:t>
      </w:r>
    </w:p>
    <w:p w14:paraId="4F2227A2" w14:textId="77777777" w:rsidR="000E51EC" w:rsidRPr="00D12E8A" w:rsidRDefault="000E51EC">
      <w:pPr>
        <w:pBdr>
          <w:top w:val="nil"/>
          <w:left w:val="nil"/>
          <w:bottom w:val="nil"/>
          <w:right w:val="nil"/>
          <w:between w:val="nil"/>
        </w:pBdr>
        <w:rPr>
          <w:color w:val="000000"/>
          <w:highlight w:val="yellow"/>
        </w:rPr>
      </w:pPr>
    </w:p>
    <w:tbl>
      <w:tblPr>
        <w:tblStyle w:val="a"/>
        <w:tblW w:w="989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7"/>
        <w:gridCol w:w="1578"/>
        <w:gridCol w:w="5040"/>
      </w:tblGrid>
      <w:tr w:rsidR="00E01119" w:rsidRPr="00D12E8A" w14:paraId="62AACF61" w14:textId="77777777" w:rsidTr="00AC27F6">
        <w:trPr>
          <w:trHeight w:val="357"/>
        </w:trPr>
        <w:tc>
          <w:tcPr>
            <w:tcW w:w="3277" w:type="dxa"/>
            <w:vAlign w:val="center"/>
          </w:tcPr>
          <w:p w14:paraId="6C57543B" w14:textId="77777777" w:rsidR="00E01119" w:rsidRPr="00215546" w:rsidRDefault="00E01119">
            <w:pPr>
              <w:pBdr>
                <w:top w:val="nil"/>
                <w:left w:val="nil"/>
                <w:bottom w:val="nil"/>
                <w:right w:val="nil"/>
                <w:between w:val="nil"/>
              </w:pBdr>
              <w:rPr>
                <w:b/>
                <w:color w:val="000000"/>
              </w:rPr>
            </w:pPr>
            <w:r w:rsidRPr="00215546">
              <w:rPr>
                <w:b/>
                <w:color w:val="000000"/>
              </w:rPr>
              <w:t>Locality Composite Index Range:</w:t>
            </w:r>
          </w:p>
        </w:tc>
        <w:tc>
          <w:tcPr>
            <w:tcW w:w="1578" w:type="dxa"/>
          </w:tcPr>
          <w:p w14:paraId="46D06187" w14:textId="2E605F03" w:rsidR="00E01119" w:rsidRPr="00215546" w:rsidRDefault="00E01119">
            <w:pPr>
              <w:pBdr>
                <w:top w:val="nil"/>
                <w:left w:val="nil"/>
                <w:bottom w:val="nil"/>
                <w:right w:val="nil"/>
                <w:between w:val="nil"/>
              </w:pBdr>
              <w:rPr>
                <w:b/>
                <w:color w:val="000000"/>
              </w:rPr>
            </w:pPr>
            <w:r>
              <w:rPr>
                <w:b/>
                <w:color w:val="000000"/>
              </w:rPr>
              <w:t>Multiplied Discount Rate</w:t>
            </w:r>
          </w:p>
        </w:tc>
        <w:tc>
          <w:tcPr>
            <w:tcW w:w="5040" w:type="dxa"/>
            <w:vAlign w:val="center"/>
          </w:tcPr>
          <w:p w14:paraId="6D47483A" w14:textId="4BFA79EC" w:rsidR="00E01119" w:rsidRPr="00215546" w:rsidRDefault="00E01119">
            <w:pPr>
              <w:pBdr>
                <w:top w:val="nil"/>
                <w:left w:val="nil"/>
                <w:bottom w:val="nil"/>
                <w:right w:val="nil"/>
                <w:between w:val="nil"/>
              </w:pBdr>
              <w:rPr>
                <w:b/>
                <w:color w:val="000000"/>
              </w:rPr>
            </w:pPr>
            <w:r w:rsidRPr="00215546">
              <w:rPr>
                <w:b/>
                <w:color w:val="000000"/>
              </w:rPr>
              <w:t xml:space="preserve">Eligible Interest Rate = </w:t>
            </w:r>
            <w:r w:rsidRPr="00215546">
              <w:rPr>
                <w:b/>
                <w:color w:val="000000"/>
                <w:u w:val="single"/>
              </w:rPr>
              <w:t>LESSER</w:t>
            </w:r>
            <w:r w:rsidRPr="00215546">
              <w:rPr>
                <w:b/>
                <w:color w:val="000000"/>
              </w:rPr>
              <w:t xml:space="preserve"> </w:t>
            </w:r>
            <w:r w:rsidR="00E166DB">
              <w:rPr>
                <w:b/>
                <w:color w:val="000000"/>
              </w:rPr>
              <w:t>of Market Interest rate (BVAL Callable Rate) less discount rate or:</w:t>
            </w:r>
          </w:p>
        </w:tc>
      </w:tr>
      <w:tr w:rsidR="00E01119" w:rsidRPr="00D12E8A" w14:paraId="54E13918" w14:textId="77777777" w:rsidTr="00AC27F6">
        <w:trPr>
          <w:trHeight w:val="357"/>
        </w:trPr>
        <w:tc>
          <w:tcPr>
            <w:tcW w:w="3277" w:type="dxa"/>
            <w:vAlign w:val="center"/>
          </w:tcPr>
          <w:p w14:paraId="4DE2B53F" w14:textId="77777777" w:rsidR="00E01119" w:rsidRPr="00215546" w:rsidRDefault="00E01119">
            <w:pPr>
              <w:pBdr>
                <w:top w:val="nil"/>
                <w:left w:val="nil"/>
                <w:bottom w:val="nil"/>
                <w:right w:val="nil"/>
                <w:between w:val="nil"/>
              </w:pBdr>
              <w:rPr>
                <w:color w:val="000000"/>
              </w:rPr>
            </w:pPr>
            <w:r w:rsidRPr="00215546">
              <w:rPr>
                <w:color w:val="000000"/>
              </w:rPr>
              <w:t>Composite Index between 0.0000 and 0.2999</w:t>
            </w:r>
          </w:p>
        </w:tc>
        <w:tc>
          <w:tcPr>
            <w:tcW w:w="1578" w:type="dxa"/>
          </w:tcPr>
          <w:p w14:paraId="2FA919AC" w14:textId="763F4831" w:rsidR="00E01119" w:rsidRPr="00215546" w:rsidRDefault="00E01119">
            <w:pPr>
              <w:pBdr>
                <w:top w:val="nil"/>
                <w:left w:val="nil"/>
                <w:bottom w:val="nil"/>
                <w:right w:val="nil"/>
                <w:between w:val="nil"/>
              </w:pBdr>
              <w:rPr>
                <w:color w:val="000000"/>
              </w:rPr>
            </w:pPr>
            <w:r>
              <w:rPr>
                <w:color w:val="000000"/>
              </w:rPr>
              <w:t>0.80%</w:t>
            </w:r>
          </w:p>
        </w:tc>
        <w:tc>
          <w:tcPr>
            <w:tcW w:w="5040" w:type="dxa"/>
            <w:vAlign w:val="center"/>
          </w:tcPr>
          <w:p w14:paraId="7908955A" w14:textId="2FBE7486" w:rsidR="00E166DB" w:rsidRPr="00E166DB" w:rsidRDefault="00E166DB" w:rsidP="00E166DB">
            <w:pPr>
              <w:pBdr>
                <w:top w:val="nil"/>
                <w:left w:val="nil"/>
                <w:bottom w:val="nil"/>
                <w:right w:val="nil"/>
                <w:between w:val="nil"/>
              </w:pBdr>
              <w:rPr>
                <w:color w:val="000000"/>
              </w:rPr>
            </w:pPr>
            <w:r>
              <w:rPr>
                <w:color w:val="000000"/>
              </w:rPr>
              <w:t>2%</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79"/>
              <w:gridCol w:w="5279"/>
              <w:gridCol w:w="5279"/>
            </w:tblGrid>
            <w:tr w:rsidR="00E166DB" w:rsidRPr="00E166DB" w14:paraId="21AB0B64" w14:textId="77777777">
              <w:trPr>
                <w:trHeight w:val="129"/>
              </w:trPr>
              <w:tc>
                <w:tcPr>
                  <w:tcW w:w="5279" w:type="dxa"/>
                  <w:tcBorders>
                    <w:top w:val="none" w:sz="6" w:space="0" w:color="auto"/>
                    <w:bottom w:val="none" w:sz="6" w:space="0" w:color="auto"/>
                    <w:right w:val="none" w:sz="6" w:space="0" w:color="auto"/>
                  </w:tcBorders>
                </w:tcPr>
                <w:p w14:paraId="59569E0C" w14:textId="77777777" w:rsidR="00E166DB" w:rsidRPr="00E166DB" w:rsidRDefault="00E166DB" w:rsidP="00E166DB">
                  <w:pPr>
                    <w:pBdr>
                      <w:top w:val="nil"/>
                      <w:left w:val="nil"/>
                      <w:bottom w:val="nil"/>
                      <w:right w:val="nil"/>
                      <w:between w:val="nil"/>
                    </w:pBdr>
                    <w:rPr>
                      <w:color w:val="000000"/>
                    </w:rPr>
                  </w:pPr>
                  <w:r w:rsidRPr="00E166DB">
                    <w:rPr>
                      <w:color w:val="000000"/>
                    </w:rPr>
                    <w:t xml:space="preserve"> Lesser of market interest rate less multiplied discount rate or</w:t>
                  </w:r>
                </w:p>
              </w:tc>
              <w:tc>
                <w:tcPr>
                  <w:tcW w:w="5279" w:type="dxa"/>
                  <w:tcBorders>
                    <w:top w:val="none" w:sz="6" w:space="0" w:color="auto"/>
                    <w:left w:val="none" w:sz="6" w:space="0" w:color="auto"/>
                    <w:bottom w:val="none" w:sz="6" w:space="0" w:color="auto"/>
                    <w:right w:val="none" w:sz="6" w:space="0" w:color="auto"/>
                  </w:tcBorders>
                </w:tcPr>
                <w:p w14:paraId="6AFA120A" w14:textId="77777777" w:rsidR="00E166DB" w:rsidRPr="00E166DB" w:rsidRDefault="00E166DB" w:rsidP="00E166DB">
                  <w:pPr>
                    <w:pBdr>
                      <w:top w:val="nil"/>
                      <w:left w:val="nil"/>
                      <w:bottom w:val="nil"/>
                      <w:right w:val="nil"/>
                      <w:between w:val="nil"/>
                    </w:pBdr>
                    <w:rPr>
                      <w:color w:val="000000"/>
                    </w:rPr>
                  </w:pPr>
                  <w:r w:rsidRPr="00E166DB">
                    <w:rPr>
                      <w:color w:val="000000"/>
                    </w:rPr>
                    <w:t>2.00%</w:t>
                  </w:r>
                </w:p>
              </w:tc>
              <w:tc>
                <w:tcPr>
                  <w:tcW w:w="5279" w:type="dxa"/>
                  <w:tcBorders>
                    <w:top w:val="none" w:sz="6" w:space="0" w:color="auto"/>
                    <w:left w:val="none" w:sz="6" w:space="0" w:color="auto"/>
                    <w:bottom w:val="none" w:sz="6" w:space="0" w:color="auto"/>
                  </w:tcBorders>
                </w:tcPr>
                <w:p w14:paraId="1693081D" w14:textId="77777777" w:rsidR="00E166DB" w:rsidRPr="00E166DB" w:rsidRDefault="00E166DB" w:rsidP="00E166DB">
                  <w:pPr>
                    <w:pBdr>
                      <w:top w:val="nil"/>
                      <w:left w:val="nil"/>
                      <w:bottom w:val="nil"/>
                      <w:right w:val="nil"/>
                      <w:between w:val="nil"/>
                    </w:pBdr>
                    <w:rPr>
                      <w:color w:val="000000"/>
                    </w:rPr>
                  </w:pPr>
                  <w:r w:rsidRPr="00E166DB">
                    <w:rPr>
                      <w:color w:val="000000"/>
                    </w:rPr>
                    <w:t>=</w:t>
                  </w:r>
                </w:p>
              </w:tc>
            </w:tr>
          </w:tbl>
          <w:p w14:paraId="0D501924" w14:textId="5E1A61A2" w:rsidR="00E01119" w:rsidRPr="00215546" w:rsidRDefault="00E01119">
            <w:pPr>
              <w:pBdr>
                <w:top w:val="nil"/>
                <w:left w:val="nil"/>
                <w:bottom w:val="nil"/>
                <w:right w:val="nil"/>
                <w:between w:val="nil"/>
              </w:pBdr>
              <w:rPr>
                <w:color w:val="000000"/>
              </w:rPr>
            </w:pPr>
          </w:p>
        </w:tc>
      </w:tr>
      <w:tr w:rsidR="00E01119" w:rsidRPr="00D12E8A" w14:paraId="1A1C4E9A" w14:textId="77777777" w:rsidTr="00AC27F6">
        <w:trPr>
          <w:trHeight w:val="357"/>
        </w:trPr>
        <w:tc>
          <w:tcPr>
            <w:tcW w:w="3277" w:type="dxa"/>
            <w:vAlign w:val="center"/>
          </w:tcPr>
          <w:p w14:paraId="5F581E57" w14:textId="77777777" w:rsidR="00E01119" w:rsidRPr="00215546" w:rsidRDefault="00E01119">
            <w:pPr>
              <w:pBdr>
                <w:top w:val="nil"/>
                <w:left w:val="nil"/>
                <w:bottom w:val="nil"/>
                <w:right w:val="nil"/>
                <w:between w:val="nil"/>
              </w:pBdr>
              <w:rPr>
                <w:color w:val="000000"/>
              </w:rPr>
            </w:pPr>
            <w:r w:rsidRPr="00215546">
              <w:rPr>
                <w:color w:val="000000"/>
              </w:rPr>
              <w:t>Composite Index between 0.3000 and 0.3999</w:t>
            </w:r>
          </w:p>
        </w:tc>
        <w:tc>
          <w:tcPr>
            <w:tcW w:w="1578" w:type="dxa"/>
          </w:tcPr>
          <w:p w14:paraId="1AB6E9E2" w14:textId="5CA140C3" w:rsidR="00E01119" w:rsidRPr="00215546" w:rsidRDefault="00E01119">
            <w:pPr>
              <w:pBdr>
                <w:top w:val="nil"/>
                <w:left w:val="nil"/>
                <w:bottom w:val="nil"/>
                <w:right w:val="nil"/>
                <w:between w:val="nil"/>
              </w:pBdr>
              <w:rPr>
                <w:color w:val="000000"/>
              </w:rPr>
            </w:pPr>
            <w:r>
              <w:rPr>
                <w:color w:val="000000"/>
              </w:rPr>
              <w:t>0.40%</w:t>
            </w:r>
          </w:p>
        </w:tc>
        <w:tc>
          <w:tcPr>
            <w:tcW w:w="5040" w:type="dxa"/>
            <w:vAlign w:val="center"/>
          </w:tcPr>
          <w:p w14:paraId="5290DA87" w14:textId="1DDE1B48" w:rsidR="00E01119" w:rsidRPr="00215546" w:rsidRDefault="00E166DB">
            <w:pPr>
              <w:pBdr>
                <w:top w:val="nil"/>
                <w:left w:val="nil"/>
                <w:bottom w:val="nil"/>
                <w:right w:val="nil"/>
                <w:between w:val="nil"/>
              </w:pBdr>
              <w:rPr>
                <w:color w:val="000000"/>
              </w:rPr>
            </w:pPr>
            <w:r>
              <w:rPr>
                <w:color w:val="000000"/>
              </w:rPr>
              <w:t>3%</w:t>
            </w:r>
          </w:p>
        </w:tc>
      </w:tr>
      <w:tr w:rsidR="00E01119" w:rsidRPr="00D12E8A" w14:paraId="481572E6" w14:textId="77777777" w:rsidTr="00AC27F6">
        <w:trPr>
          <w:trHeight w:val="357"/>
        </w:trPr>
        <w:tc>
          <w:tcPr>
            <w:tcW w:w="3277" w:type="dxa"/>
            <w:vAlign w:val="center"/>
          </w:tcPr>
          <w:p w14:paraId="4B003074" w14:textId="77777777" w:rsidR="00E01119" w:rsidRPr="00215546" w:rsidRDefault="00E01119">
            <w:pPr>
              <w:pBdr>
                <w:top w:val="nil"/>
                <w:left w:val="nil"/>
                <w:bottom w:val="nil"/>
                <w:right w:val="nil"/>
                <w:between w:val="nil"/>
              </w:pBdr>
              <w:rPr>
                <w:color w:val="000000"/>
              </w:rPr>
            </w:pPr>
            <w:r w:rsidRPr="00215546">
              <w:rPr>
                <w:color w:val="000000"/>
              </w:rPr>
              <w:t>Composite Index between 0.4000 and 0.4999</w:t>
            </w:r>
          </w:p>
        </w:tc>
        <w:tc>
          <w:tcPr>
            <w:tcW w:w="1578" w:type="dxa"/>
          </w:tcPr>
          <w:p w14:paraId="41AE00FC" w14:textId="6DA097BC" w:rsidR="00E01119" w:rsidRPr="00215546" w:rsidRDefault="00E01119">
            <w:pPr>
              <w:pBdr>
                <w:top w:val="nil"/>
                <w:left w:val="nil"/>
                <w:bottom w:val="nil"/>
                <w:right w:val="nil"/>
                <w:between w:val="nil"/>
              </w:pBdr>
              <w:rPr>
                <w:color w:val="000000"/>
              </w:rPr>
            </w:pPr>
            <w:r>
              <w:rPr>
                <w:color w:val="000000"/>
              </w:rPr>
              <w:t>0.20%</w:t>
            </w:r>
          </w:p>
        </w:tc>
        <w:tc>
          <w:tcPr>
            <w:tcW w:w="5040" w:type="dxa"/>
            <w:vAlign w:val="center"/>
          </w:tcPr>
          <w:p w14:paraId="614FA90E" w14:textId="78A60FA5" w:rsidR="00E01119" w:rsidRPr="00215546" w:rsidRDefault="00E166DB">
            <w:pPr>
              <w:pBdr>
                <w:top w:val="nil"/>
                <w:left w:val="nil"/>
                <w:bottom w:val="nil"/>
                <w:right w:val="nil"/>
                <w:between w:val="nil"/>
              </w:pBdr>
              <w:rPr>
                <w:color w:val="000000"/>
              </w:rPr>
            </w:pPr>
            <w:r>
              <w:rPr>
                <w:color w:val="000000"/>
              </w:rPr>
              <w:t>4%</w:t>
            </w:r>
          </w:p>
        </w:tc>
      </w:tr>
      <w:tr w:rsidR="00E01119" w:rsidRPr="00D12E8A" w14:paraId="22F0E44D" w14:textId="77777777" w:rsidTr="00AC27F6">
        <w:trPr>
          <w:trHeight w:val="357"/>
        </w:trPr>
        <w:tc>
          <w:tcPr>
            <w:tcW w:w="3277" w:type="dxa"/>
            <w:vAlign w:val="center"/>
          </w:tcPr>
          <w:p w14:paraId="79E5C235" w14:textId="77777777" w:rsidR="00E01119" w:rsidRPr="00215546" w:rsidRDefault="00E01119">
            <w:pPr>
              <w:pBdr>
                <w:top w:val="nil"/>
                <w:left w:val="nil"/>
                <w:bottom w:val="nil"/>
                <w:right w:val="nil"/>
                <w:between w:val="nil"/>
              </w:pBdr>
              <w:rPr>
                <w:color w:val="000000"/>
              </w:rPr>
            </w:pPr>
            <w:r w:rsidRPr="00215546">
              <w:rPr>
                <w:color w:val="000000"/>
              </w:rPr>
              <w:t>Composite Index between 0.5000 and 0.5999</w:t>
            </w:r>
          </w:p>
        </w:tc>
        <w:tc>
          <w:tcPr>
            <w:tcW w:w="1578" w:type="dxa"/>
          </w:tcPr>
          <w:p w14:paraId="097B98D8" w14:textId="2255E2B5" w:rsidR="00E01119" w:rsidRPr="00215546" w:rsidRDefault="00E01119">
            <w:pPr>
              <w:pBdr>
                <w:top w:val="nil"/>
                <w:left w:val="nil"/>
                <w:bottom w:val="nil"/>
                <w:right w:val="nil"/>
                <w:between w:val="nil"/>
              </w:pBdr>
              <w:rPr>
                <w:color w:val="000000"/>
              </w:rPr>
            </w:pPr>
            <w:r>
              <w:rPr>
                <w:color w:val="000000"/>
              </w:rPr>
              <w:t>0.10%</w:t>
            </w:r>
          </w:p>
        </w:tc>
        <w:tc>
          <w:tcPr>
            <w:tcW w:w="5040" w:type="dxa"/>
            <w:vAlign w:val="center"/>
          </w:tcPr>
          <w:p w14:paraId="7E587797" w14:textId="187F9D16" w:rsidR="00E01119" w:rsidRPr="00215546" w:rsidRDefault="00E166DB">
            <w:pPr>
              <w:pBdr>
                <w:top w:val="nil"/>
                <w:left w:val="nil"/>
                <w:bottom w:val="nil"/>
                <w:right w:val="nil"/>
                <w:between w:val="nil"/>
              </w:pBdr>
              <w:rPr>
                <w:color w:val="000000"/>
              </w:rPr>
            </w:pPr>
            <w:r>
              <w:rPr>
                <w:color w:val="000000"/>
              </w:rPr>
              <w:t>5%</w:t>
            </w:r>
          </w:p>
        </w:tc>
      </w:tr>
      <w:tr w:rsidR="00E01119" w:rsidRPr="00D12E8A" w14:paraId="1E3B2017" w14:textId="77777777" w:rsidTr="00AC27F6">
        <w:trPr>
          <w:trHeight w:val="357"/>
        </w:trPr>
        <w:tc>
          <w:tcPr>
            <w:tcW w:w="3277" w:type="dxa"/>
            <w:vAlign w:val="center"/>
          </w:tcPr>
          <w:p w14:paraId="0E732EF9" w14:textId="77777777" w:rsidR="00E01119" w:rsidRPr="00215546" w:rsidRDefault="00E01119">
            <w:pPr>
              <w:pBdr>
                <w:top w:val="nil"/>
                <w:left w:val="nil"/>
                <w:bottom w:val="nil"/>
                <w:right w:val="nil"/>
                <w:between w:val="nil"/>
              </w:pBdr>
              <w:rPr>
                <w:color w:val="000000"/>
              </w:rPr>
            </w:pPr>
            <w:r w:rsidRPr="00215546">
              <w:rPr>
                <w:color w:val="000000"/>
              </w:rPr>
              <w:t>Composite Index between 0.6000 and 0.8000</w:t>
            </w:r>
          </w:p>
        </w:tc>
        <w:tc>
          <w:tcPr>
            <w:tcW w:w="1578" w:type="dxa"/>
          </w:tcPr>
          <w:p w14:paraId="45A04BD8" w14:textId="2EBD54C2" w:rsidR="00E01119" w:rsidRPr="00215546" w:rsidRDefault="00E01119">
            <w:pPr>
              <w:pBdr>
                <w:top w:val="nil"/>
                <w:left w:val="nil"/>
                <w:bottom w:val="nil"/>
                <w:right w:val="nil"/>
                <w:between w:val="nil"/>
              </w:pBdr>
              <w:rPr>
                <w:color w:val="000000"/>
              </w:rPr>
            </w:pPr>
            <w:r>
              <w:rPr>
                <w:color w:val="000000"/>
              </w:rPr>
              <w:t>0.05%</w:t>
            </w:r>
          </w:p>
        </w:tc>
        <w:tc>
          <w:tcPr>
            <w:tcW w:w="5040" w:type="dxa"/>
            <w:vAlign w:val="center"/>
          </w:tcPr>
          <w:p w14:paraId="73DDC77E" w14:textId="6DC2EF18" w:rsidR="00E01119" w:rsidRPr="00215546" w:rsidRDefault="00E166DB">
            <w:pPr>
              <w:pBdr>
                <w:top w:val="nil"/>
                <w:left w:val="nil"/>
                <w:bottom w:val="nil"/>
                <w:right w:val="nil"/>
                <w:between w:val="nil"/>
              </w:pBdr>
              <w:rPr>
                <w:color w:val="000000"/>
              </w:rPr>
            </w:pPr>
            <w:r>
              <w:rPr>
                <w:color w:val="000000"/>
              </w:rPr>
              <w:t>6%</w:t>
            </w:r>
          </w:p>
        </w:tc>
      </w:tr>
    </w:tbl>
    <w:p w14:paraId="5D4ADACF" w14:textId="77777777" w:rsidR="000E51EC" w:rsidRPr="00D12E8A" w:rsidRDefault="000E51EC">
      <w:pPr>
        <w:pBdr>
          <w:top w:val="nil"/>
          <w:left w:val="nil"/>
          <w:bottom w:val="nil"/>
          <w:right w:val="nil"/>
          <w:between w:val="nil"/>
        </w:pBdr>
        <w:rPr>
          <w:color w:val="000000"/>
          <w:highlight w:val="yellow"/>
        </w:rPr>
      </w:pPr>
    </w:p>
    <w:p w14:paraId="7137A457" w14:textId="277752E0" w:rsidR="00E166DB" w:rsidRDefault="00E166DB">
      <w:pPr>
        <w:pBdr>
          <w:top w:val="nil"/>
          <w:left w:val="nil"/>
          <w:bottom w:val="nil"/>
          <w:right w:val="nil"/>
          <w:between w:val="nil"/>
        </w:pBdr>
        <w:rPr>
          <w:color w:val="000000"/>
        </w:rPr>
      </w:pPr>
      <w:bookmarkStart w:id="0" w:name="_heading=h.gjdgxs" w:colFirst="0" w:colLast="0"/>
      <w:bookmarkEnd w:id="0"/>
    </w:p>
    <w:p w14:paraId="67FA146B" w14:textId="392A37E9" w:rsidR="00E166DB" w:rsidRDefault="00E166DB">
      <w:pPr>
        <w:pBdr>
          <w:top w:val="nil"/>
          <w:left w:val="nil"/>
          <w:bottom w:val="nil"/>
          <w:right w:val="nil"/>
          <w:between w:val="nil"/>
        </w:pBdr>
        <w:rPr>
          <w:color w:val="000000"/>
        </w:rPr>
      </w:pPr>
      <w:r>
        <w:rPr>
          <w:color w:val="000000"/>
        </w:rPr>
        <w:t xml:space="preserve">This approach helps ensure that low-resourced school divisions, which the Literary Fund is intended to most help, will be able to access loan interest rates that are the most favorable at or below market or at least at the 2.0 to 3.0 percent rates historically made available to such divisions. In addition, this approach provides increasingly lower rates for school divisions with the lowest Composite Index values by increasing the discount at a greater rate from the beginning market index interest rate. </w:t>
      </w:r>
    </w:p>
    <w:p w14:paraId="70088C95" w14:textId="77777777" w:rsidR="00E166DB" w:rsidRDefault="00E166DB">
      <w:pPr>
        <w:pBdr>
          <w:top w:val="nil"/>
          <w:left w:val="nil"/>
          <w:bottom w:val="nil"/>
          <w:right w:val="nil"/>
          <w:between w:val="nil"/>
        </w:pBdr>
        <w:rPr>
          <w:color w:val="000000"/>
        </w:rPr>
      </w:pPr>
    </w:p>
    <w:p w14:paraId="6BEA7F93" w14:textId="77777777" w:rsidR="00E166DB" w:rsidRDefault="00E166DB" w:rsidP="00E166DB">
      <w:pPr>
        <w:pBdr>
          <w:top w:val="nil"/>
          <w:left w:val="nil"/>
          <w:bottom w:val="nil"/>
          <w:right w:val="nil"/>
          <w:between w:val="nil"/>
        </w:pBdr>
        <w:rPr>
          <w:color w:val="000000"/>
        </w:rPr>
      </w:pPr>
      <w:proofErr w:type="gramStart"/>
      <w:r w:rsidRPr="006E77A0">
        <w:rPr>
          <w:color w:val="000000"/>
        </w:rPr>
        <w:t>In the event that</w:t>
      </w:r>
      <w:proofErr w:type="gramEnd"/>
      <w:r w:rsidRPr="006E77A0">
        <w:rPr>
          <w:color w:val="000000"/>
        </w:rPr>
        <w:t xml:space="preserve"> the 20-year BVAL Callable rate is not available or is discontinued, the MMD AAA Curve (produced by Municipal Market Data, another municipal security-based rate) will serve as the secondary annual market index benchmark rate.</w:t>
      </w:r>
    </w:p>
    <w:p w14:paraId="18D27926" w14:textId="77777777" w:rsidR="00E166DB" w:rsidRDefault="00E166DB">
      <w:pPr>
        <w:pBdr>
          <w:top w:val="nil"/>
          <w:left w:val="nil"/>
          <w:bottom w:val="nil"/>
          <w:right w:val="nil"/>
          <w:between w:val="nil"/>
        </w:pBdr>
        <w:rPr>
          <w:color w:val="000000"/>
        </w:rPr>
      </w:pPr>
    </w:p>
    <w:p w14:paraId="2986F380" w14:textId="77777777" w:rsidR="000E51EC" w:rsidRDefault="000E51EC">
      <w:pPr>
        <w:pBdr>
          <w:top w:val="nil"/>
          <w:left w:val="nil"/>
          <w:bottom w:val="nil"/>
          <w:right w:val="nil"/>
          <w:between w:val="nil"/>
        </w:pBdr>
        <w:rPr>
          <w:color w:val="000000"/>
        </w:rPr>
      </w:pPr>
    </w:p>
    <w:p w14:paraId="39383989" w14:textId="77777777" w:rsidR="000E51EC" w:rsidRDefault="00B57067">
      <w:pPr>
        <w:pBdr>
          <w:top w:val="nil"/>
          <w:left w:val="nil"/>
          <w:bottom w:val="nil"/>
          <w:right w:val="nil"/>
          <w:between w:val="nil"/>
        </w:pBdr>
        <w:rPr>
          <w:color w:val="000000"/>
        </w:rPr>
      </w:pPr>
      <w:r>
        <w:rPr>
          <w:b/>
          <w:smallCaps/>
          <w:sz w:val="36"/>
          <w:szCs w:val="36"/>
        </w:rPr>
        <w:t>Loan Add-on Amount for School Consolidations</w:t>
      </w:r>
    </w:p>
    <w:p w14:paraId="3D0413E9" w14:textId="77777777" w:rsidR="000E51EC" w:rsidRDefault="00B57067">
      <w:pPr>
        <w:pBdr>
          <w:top w:val="nil"/>
          <w:left w:val="nil"/>
          <w:bottom w:val="nil"/>
          <w:right w:val="nil"/>
          <w:between w:val="nil"/>
        </w:pBdr>
      </w:pPr>
      <w:r>
        <w:rPr>
          <w:color w:val="000000"/>
        </w:rPr>
        <w:t>Subject to available funding, the Board may offer a loan add-on not to exceed $5.0 million per loan for projects that will result in school consolidation and the net reduction of at least one existing school. The Board may also approve loan amount add-ons for less than $5.0 million. When such loan add-ons are approved, the Board may require subsequent reporting by school divisions to ensure that the school consolidation action resulting in at least one net school closure did occur as part of the funded project.</w:t>
      </w:r>
    </w:p>
    <w:sectPr w:rsidR="000E51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4BD1" w14:textId="77777777" w:rsidR="007F015E" w:rsidRDefault="00B57067">
      <w:r>
        <w:separator/>
      </w:r>
    </w:p>
  </w:endnote>
  <w:endnote w:type="continuationSeparator" w:id="0">
    <w:p w14:paraId="322E209A" w14:textId="77777777" w:rsidR="007F015E" w:rsidRDefault="00B5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74B3" w14:textId="77777777" w:rsidR="000E51EC" w:rsidRDefault="00B5706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02E4CD33" w14:textId="77777777" w:rsidR="000E51EC" w:rsidRDefault="000E51E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C8B" w14:textId="77777777" w:rsidR="000E51EC" w:rsidRDefault="00B5706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5317D02" w14:textId="77777777" w:rsidR="000E51EC" w:rsidRDefault="00B57067">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 xml:space="preserve">VIRGINIA BOARD OF EDUCATION | </w:t>
    </w:r>
    <w:hyperlink r:id="rId1">
      <w:r>
        <w:rPr>
          <w:color w:val="003B71"/>
          <w:sz w:val="16"/>
          <w:szCs w:val="16"/>
          <w:u w:val="single"/>
        </w:rPr>
        <w:t>doe.virginia.gov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FEAB" w14:textId="77777777" w:rsidR="000E51EC" w:rsidRDefault="000E51E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3EC5" w14:textId="77777777" w:rsidR="007F015E" w:rsidRDefault="00B57067">
      <w:r>
        <w:separator/>
      </w:r>
    </w:p>
  </w:footnote>
  <w:footnote w:type="continuationSeparator" w:id="0">
    <w:p w14:paraId="33B8F7EC" w14:textId="77777777" w:rsidR="007F015E" w:rsidRDefault="00B5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2791" w14:textId="77777777" w:rsidR="000E51EC" w:rsidRDefault="000E51E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A9AF" w14:textId="77777777" w:rsidR="000E51EC" w:rsidRDefault="000E51E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888C" w14:textId="77777777" w:rsidR="000E51EC" w:rsidRDefault="000E51E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51D"/>
    <w:multiLevelType w:val="hybridMultilevel"/>
    <w:tmpl w:val="A1361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56BE6"/>
    <w:multiLevelType w:val="multilevel"/>
    <w:tmpl w:val="39E8C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6F0304D"/>
    <w:multiLevelType w:val="multilevel"/>
    <w:tmpl w:val="4CC804F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4414796">
    <w:abstractNumId w:val="1"/>
  </w:num>
  <w:num w:numId="2" w16cid:durableId="889000008">
    <w:abstractNumId w:val="2"/>
  </w:num>
  <w:num w:numId="3" w16cid:durableId="149009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EC"/>
    <w:rsid w:val="000E51EC"/>
    <w:rsid w:val="000E76C0"/>
    <w:rsid w:val="00215546"/>
    <w:rsid w:val="00223CD6"/>
    <w:rsid w:val="00251A15"/>
    <w:rsid w:val="002A3C65"/>
    <w:rsid w:val="004619B3"/>
    <w:rsid w:val="006E77A0"/>
    <w:rsid w:val="007F015E"/>
    <w:rsid w:val="00853814"/>
    <w:rsid w:val="00AC27F6"/>
    <w:rsid w:val="00B34E60"/>
    <w:rsid w:val="00B57067"/>
    <w:rsid w:val="00BE5F4B"/>
    <w:rsid w:val="00CE7554"/>
    <w:rsid w:val="00D12E8A"/>
    <w:rsid w:val="00D914D7"/>
    <w:rsid w:val="00E01119"/>
    <w:rsid w:val="00E1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617"/>
  <w15:docId w15:val="{9AACF60E-117D-4428-B67E-2BDF61B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03F"/>
  </w:style>
  <w:style w:type="paragraph" w:styleId="Heading1">
    <w:name w:val="heading 1"/>
    <w:basedOn w:val="Normal"/>
    <w:next w:val="Normal"/>
    <w:link w:val="Heading1Char"/>
    <w:uiPriority w:val="9"/>
    <w:qFormat/>
    <w:rsid w:val="0020703F"/>
    <w:pPr>
      <w:outlineLvl w:val="0"/>
    </w:pPr>
    <w:rPr>
      <w:b/>
      <w:bCs/>
      <w:caps/>
      <w:color w:val="003B71"/>
      <w:sz w:val="48"/>
      <w:szCs w:val="48"/>
    </w:rPr>
  </w:style>
  <w:style w:type="paragraph" w:styleId="Heading2">
    <w:name w:val="heading 2"/>
    <w:basedOn w:val="Normal"/>
    <w:next w:val="Normal"/>
    <w:link w:val="Heading2Char"/>
    <w:uiPriority w:val="9"/>
    <w:unhideWhenUsed/>
    <w:qFormat/>
    <w:rsid w:val="0020703F"/>
    <w:pPr>
      <w:keepNext/>
      <w:keepLines/>
      <w:spacing w:before="40"/>
      <w:outlineLvl w:val="1"/>
    </w:pPr>
    <w:rPr>
      <w:rFonts w:eastAsiaTheme="majorEastAsia"/>
      <w:b/>
      <w:bCs/>
      <w:caps/>
      <w:color w:val="000000" w:themeColor="text1"/>
      <w:sz w:val="36"/>
      <w:szCs w:val="36"/>
    </w:rPr>
  </w:style>
  <w:style w:type="paragraph" w:styleId="Heading3">
    <w:name w:val="heading 3"/>
    <w:basedOn w:val="Normal"/>
    <w:next w:val="Normal"/>
    <w:link w:val="Heading3Char"/>
    <w:uiPriority w:val="9"/>
    <w:unhideWhenUsed/>
    <w:qFormat/>
    <w:rsid w:val="0020703F"/>
    <w:pPr>
      <w:keepNext/>
      <w:keepLines/>
      <w:spacing w:before="40"/>
      <w:outlineLvl w:val="2"/>
    </w:pPr>
    <w:rPr>
      <w:rFonts w:eastAsiaTheme="majorEastAsia"/>
      <w:b/>
      <w:bCs/>
      <w:caps/>
      <w:color w:val="003B71"/>
      <w:sz w:val="28"/>
      <w:szCs w:val="28"/>
    </w:rPr>
  </w:style>
  <w:style w:type="paragraph" w:styleId="Heading4">
    <w:name w:val="heading 4"/>
    <w:basedOn w:val="Normal"/>
    <w:next w:val="Normal"/>
    <w:link w:val="Heading4Char"/>
    <w:uiPriority w:val="9"/>
    <w:unhideWhenUsed/>
    <w:qFormat/>
    <w:rsid w:val="0020703F"/>
    <w:pPr>
      <w:keepNext/>
      <w:keepLines/>
      <w:spacing w:before="40"/>
      <w:outlineLvl w:val="3"/>
    </w:pPr>
    <w:rPr>
      <w:rFonts w:eastAsiaTheme="majorEastAsia"/>
      <w:i/>
      <w:iCs/>
      <w:color w:val="003B71"/>
    </w:rPr>
  </w:style>
  <w:style w:type="paragraph" w:styleId="Heading5">
    <w:name w:val="heading 5"/>
    <w:basedOn w:val="Normal"/>
    <w:next w:val="Normal"/>
    <w:link w:val="Heading5Char"/>
    <w:uiPriority w:val="9"/>
    <w:semiHidden/>
    <w:unhideWhenUsed/>
    <w:qFormat/>
    <w:rsid w:val="0020703F"/>
    <w:pPr>
      <w:keepNext/>
      <w:keepLines/>
      <w:spacing w:before="40"/>
      <w:outlineLvl w:val="4"/>
    </w:pPr>
    <w:rPr>
      <w:rFonts w:eastAsiaTheme="majorEastAsia" w:cstheme="majorBidi"/>
      <w:color w:val="808080" w:themeColor="background2" w:themeShade="80"/>
    </w:rPr>
  </w:style>
  <w:style w:type="paragraph" w:styleId="Heading6">
    <w:name w:val="heading 6"/>
    <w:basedOn w:val="Normal"/>
    <w:next w:val="Normal"/>
    <w:link w:val="Heading6Char"/>
    <w:uiPriority w:val="9"/>
    <w:semiHidden/>
    <w:unhideWhenUsed/>
    <w:qFormat/>
    <w:rsid w:val="0020703F"/>
    <w:pPr>
      <w:keepNext/>
      <w:keepLines/>
      <w:spacing w:before="40"/>
      <w:outlineLvl w:val="5"/>
    </w:pPr>
    <w:rPr>
      <w:rFonts w:eastAsiaTheme="majorEastAsia" w:cstheme="majorBidi"/>
      <w:color w:val="001D38" w:themeColor="accent1" w:themeShade="7F"/>
    </w:rPr>
  </w:style>
  <w:style w:type="paragraph" w:styleId="Heading7">
    <w:name w:val="heading 7"/>
    <w:basedOn w:val="Normal"/>
    <w:next w:val="Normal"/>
    <w:link w:val="Heading7Char"/>
    <w:uiPriority w:val="9"/>
    <w:semiHidden/>
    <w:unhideWhenUsed/>
    <w:qFormat/>
    <w:rsid w:val="0020703F"/>
    <w:pPr>
      <w:keepNext/>
      <w:keepLines/>
      <w:spacing w:before="40"/>
      <w:outlineLvl w:val="6"/>
    </w:pPr>
    <w:rPr>
      <w:rFonts w:eastAsiaTheme="majorEastAsia" w:cstheme="majorBidi"/>
      <w:i/>
      <w:iCs/>
      <w:color w:val="001D38" w:themeColor="accent1" w:themeShade="7F"/>
    </w:rPr>
  </w:style>
  <w:style w:type="paragraph" w:styleId="Heading8">
    <w:name w:val="heading 8"/>
    <w:basedOn w:val="Normal"/>
    <w:next w:val="Normal"/>
    <w:link w:val="Heading8Char"/>
    <w:uiPriority w:val="9"/>
    <w:semiHidden/>
    <w:unhideWhenUsed/>
    <w:qFormat/>
    <w:rsid w:val="0020703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703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703F"/>
    <w:pPr>
      <w:jc w:val="center"/>
    </w:pPr>
    <w:rPr>
      <w:b/>
      <w:bCs/>
      <w:sz w:val="72"/>
      <w:szCs w:val="72"/>
    </w:rPr>
  </w:style>
  <w:style w:type="paragraph" w:styleId="NoSpacing">
    <w:name w:val="No Spacing"/>
    <w:basedOn w:val="Normal"/>
    <w:link w:val="NoSpacingChar"/>
    <w:uiPriority w:val="1"/>
    <w:qFormat/>
    <w:rsid w:val="0020703F"/>
  </w:style>
  <w:style w:type="character" w:customStyle="1" w:styleId="NoSpacingChar">
    <w:name w:val="No Spacing Char"/>
    <w:basedOn w:val="DefaultParagraphFont"/>
    <w:link w:val="NoSpacing"/>
    <w:uiPriority w:val="1"/>
    <w:rsid w:val="0020703F"/>
    <w:rPr>
      <w:rFonts w:ascii="Times New Roman" w:hAnsi="Times New Roman" w:cs="Times New Roman"/>
    </w:rPr>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20703F"/>
    <w:rPr>
      <w:rFonts w:ascii="Times New Roman" w:hAnsi="Times New Roman" w:cs="Times New Roman"/>
      <w:b/>
      <w:bCs/>
      <w:caps/>
      <w:color w:val="003B71"/>
      <w:sz w:val="48"/>
      <w:szCs w:val="48"/>
    </w:rPr>
  </w:style>
  <w:style w:type="character" w:customStyle="1" w:styleId="Heading2Char">
    <w:name w:val="Heading 2 Char"/>
    <w:basedOn w:val="DefaultParagraphFont"/>
    <w:link w:val="Heading2"/>
    <w:uiPriority w:val="9"/>
    <w:rsid w:val="0020703F"/>
    <w:rPr>
      <w:rFonts w:ascii="Times New Roman" w:eastAsiaTheme="majorEastAsia" w:hAnsi="Times New Roman" w:cs="Times New Roman"/>
      <w:b/>
      <w:bCs/>
      <w:caps/>
      <w:color w:val="000000" w:themeColor="text1"/>
      <w:sz w:val="36"/>
      <w:szCs w:val="36"/>
    </w:rPr>
  </w:style>
  <w:style w:type="character" w:customStyle="1" w:styleId="Heading3Char">
    <w:name w:val="Heading 3 Char"/>
    <w:basedOn w:val="DefaultParagraphFont"/>
    <w:link w:val="Heading3"/>
    <w:uiPriority w:val="9"/>
    <w:rsid w:val="0020703F"/>
    <w:rPr>
      <w:rFonts w:ascii="Times New Roman" w:eastAsiaTheme="majorEastAsia" w:hAnsi="Times New Roman" w:cs="Times New Roman"/>
      <w:b/>
      <w:bCs/>
      <w:caps/>
      <w:color w:val="003B71"/>
      <w:sz w:val="28"/>
      <w:szCs w:val="28"/>
    </w:rPr>
  </w:style>
  <w:style w:type="character" w:customStyle="1" w:styleId="Heading4Char">
    <w:name w:val="Heading 4 Char"/>
    <w:basedOn w:val="DefaultParagraphFont"/>
    <w:link w:val="Heading4"/>
    <w:uiPriority w:val="9"/>
    <w:rsid w:val="0020703F"/>
    <w:rPr>
      <w:rFonts w:ascii="Times New Roman" w:eastAsiaTheme="majorEastAsia" w:hAnsi="Times New Roman" w:cs="Times New Roman"/>
      <w:i/>
      <w:iCs/>
      <w:color w:val="003B71"/>
    </w:rPr>
  </w:style>
  <w:style w:type="character" w:customStyle="1" w:styleId="Heading5Char">
    <w:name w:val="Heading 5 Char"/>
    <w:basedOn w:val="DefaultParagraphFont"/>
    <w:link w:val="Heading5"/>
    <w:uiPriority w:val="9"/>
    <w:semiHidden/>
    <w:rsid w:val="0020703F"/>
    <w:rPr>
      <w:rFonts w:ascii="Times New Roman" w:eastAsiaTheme="majorEastAsia" w:hAnsi="Times New Roman" w:cstheme="majorBidi"/>
      <w:color w:val="808080" w:themeColor="background2" w:themeShade="80"/>
    </w:rPr>
  </w:style>
  <w:style w:type="character" w:customStyle="1" w:styleId="TitleChar">
    <w:name w:val="Title Char"/>
    <w:basedOn w:val="DefaultParagraphFont"/>
    <w:link w:val="Title"/>
    <w:uiPriority w:val="10"/>
    <w:rsid w:val="0020703F"/>
    <w:rPr>
      <w:rFonts w:ascii="Times New Roman" w:hAnsi="Times New Roman" w:cs="Times New Roman"/>
      <w:b/>
      <w:bCs/>
      <w:sz w:val="72"/>
      <w:szCs w:val="72"/>
    </w:rPr>
  </w:style>
  <w:style w:type="paragraph" w:styleId="Subtitle">
    <w:name w:val="Subtitle"/>
    <w:basedOn w:val="Normal"/>
    <w:next w:val="Normal"/>
    <w:link w:val="SubtitleChar"/>
    <w:pPr>
      <w:jc w:val="center"/>
    </w:pPr>
    <w:rPr>
      <w:sz w:val="36"/>
      <w:szCs w:val="36"/>
    </w:rPr>
  </w:style>
  <w:style w:type="character" w:customStyle="1" w:styleId="SubtitleChar">
    <w:name w:val="Subtitle Char"/>
    <w:basedOn w:val="DefaultParagraphFont"/>
    <w:link w:val="Subtitle"/>
    <w:uiPriority w:val="11"/>
    <w:rsid w:val="0020703F"/>
    <w:rPr>
      <w:rFonts w:ascii="Times New Roman" w:hAnsi="Times New Roman" w:cs="Times New Roman"/>
      <w:sz w:val="36"/>
      <w:szCs w:val="36"/>
    </w:rPr>
  </w:style>
  <w:style w:type="character" w:styleId="SubtleEmphasis">
    <w:name w:val="Subtle Emphasis"/>
    <w:basedOn w:val="DefaultParagraphFont"/>
    <w:uiPriority w:val="19"/>
    <w:qFormat/>
    <w:rsid w:val="0020703F"/>
    <w:rPr>
      <w:rFonts w:ascii="Times New Roman" w:hAnsi="Times New Roman"/>
      <w:b w:val="0"/>
      <w:i/>
      <w:iCs/>
      <w:color w:val="404040" w:themeColor="text1" w:themeTint="BF"/>
    </w:rPr>
  </w:style>
  <w:style w:type="character" w:styleId="Emphasis">
    <w:name w:val="Emphasis"/>
    <w:basedOn w:val="DefaultParagraphFont"/>
    <w:uiPriority w:val="20"/>
    <w:qFormat/>
    <w:rsid w:val="0020703F"/>
    <w:rPr>
      <w:rFonts w:ascii="Times New Roman" w:hAnsi="Times New Roman"/>
      <w:b/>
      <w:i/>
      <w:iCs/>
    </w:rPr>
  </w:style>
  <w:style w:type="character" w:styleId="IntenseEmphasis">
    <w:name w:val="Intense Emphasis"/>
    <w:basedOn w:val="DefaultParagraphFont"/>
    <w:uiPriority w:val="21"/>
    <w:qFormat/>
    <w:rsid w:val="0020703F"/>
    <w:rPr>
      <w:rFonts w:ascii="Times New Roman" w:hAnsi="Times New Roman"/>
      <w:b/>
      <w:i/>
      <w:iCs/>
      <w:color w:val="003B71"/>
    </w:rPr>
  </w:style>
  <w:style w:type="character" w:styleId="Strong">
    <w:name w:val="Strong"/>
    <w:basedOn w:val="DefaultParagraphFont"/>
    <w:uiPriority w:val="22"/>
    <w:qFormat/>
    <w:rsid w:val="0020703F"/>
    <w:rPr>
      <w:rFonts w:ascii="Times New Roman" w:hAnsi="Times New Roman"/>
      <w:b/>
      <w:bCs/>
      <w:i w:val="0"/>
    </w:rPr>
  </w:style>
  <w:style w:type="paragraph" w:styleId="IntenseQuote">
    <w:name w:val="Intense Quote"/>
    <w:basedOn w:val="Normal"/>
    <w:next w:val="Normal"/>
    <w:link w:val="IntenseQuoteChar"/>
    <w:uiPriority w:val="30"/>
    <w:qFormat/>
    <w:rsid w:val="0020703F"/>
    <w:pPr>
      <w:pBdr>
        <w:top w:val="single" w:sz="4" w:space="10" w:color="003C71" w:themeColor="accent1"/>
        <w:bottom w:val="single" w:sz="4" w:space="10" w:color="003C71" w:themeColor="accent1"/>
      </w:pBdr>
      <w:spacing w:before="360" w:after="360"/>
      <w:ind w:left="864" w:right="864"/>
      <w:jc w:val="center"/>
    </w:pPr>
    <w:rPr>
      <w:i/>
      <w:iCs/>
      <w:color w:val="003B71"/>
    </w:rPr>
  </w:style>
  <w:style w:type="character" w:customStyle="1" w:styleId="IntenseQuoteChar">
    <w:name w:val="Intense Quote Char"/>
    <w:basedOn w:val="DefaultParagraphFont"/>
    <w:link w:val="IntenseQuote"/>
    <w:uiPriority w:val="30"/>
    <w:rsid w:val="0020703F"/>
    <w:rPr>
      <w:rFonts w:ascii="Times New Roman" w:hAnsi="Times New Roman" w:cs="Times New Roman"/>
      <w:i/>
      <w:iCs/>
      <w:color w:val="003B71"/>
    </w:rPr>
  </w:style>
  <w:style w:type="character" w:styleId="SubtleReference">
    <w:name w:val="Subtle Reference"/>
    <w:basedOn w:val="DefaultParagraphFont"/>
    <w:uiPriority w:val="31"/>
    <w:qFormat/>
    <w:rsid w:val="0020703F"/>
    <w:rPr>
      <w:rFonts w:ascii="Times New Roman" w:hAnsi="Times New Roman"/>
      <w:b w:val="0"/>
      <w:i w:val="0"/>
      <w:smallCaps/>
      <w:color w:val="5A5A5A" w:themeColor="text1" w:themeTint="A5"/>
    </w:rPr>
  </w:style>
  <w:style w:type="character" w:styleId="IntenseReference">
    <w:name w:val="Intense Reference"/>
    <w:basedOn w:val="DefaultParagraphFont"/>
    <w:uiPriority w:val="32"/>
    <w:qFormat/>
    <w:rsid w:val="0020703F"/>
    <w:rPr>
      <w:rFonts w:ascii="Times New Roman" w:hAnsi="Times New Roman"/>
      <w:b/>
      <w:bCs/>
      <w:i w:val="0"/>
      <w:smallCaps/>
      <w:color w:val="003B71"/>
      <w:spacing w:val="5"/>
    </w:rPr>
  </w:style>
  <w:style w:type="character" w:styleId="BookTitle">
    <w:name w:val="Book Title"/>
    <w:basedOn w:val="DefaultParagraphFont"/>
    <w:uiPriority w:val="33"/>
    <w:qFormat/>
    <w:rsid w:val="0020703F"/>
    <w:rPr>
      <w:rFonts w:ascii="Times New Roman" w:hAnsi="Times New Roman"/>
      <w:b/>
      <w:bCs/>
      <w:i w:val="0"/>
      <w:iCs/>
      <w:caps/>
      <w:smallCaps w:val="0"/>
      <w:spacing w:val="5"/>
    </w:rPr>
  </w:style>
  <w:style w:type="character" w:customStyle="1" w:styleId="Heading6Char">
    <w:name w:val="Heading 6 Char"/>
    <w:basedOn w:val="DefaultParagraphFont"/>
    <w:link w:val="Heading6"/>
    <w:uiPriority w:val="9"/>
    <w:semiHidden/>
    <w:rsid w:val="0020703F"/>
    <w:rPr>
      <w:rFonts w:ascii="Times New Roman" w:eastAsiaTheme="majorEastAsia" w:hAnsi="Times New Roman" w:cstheme="majorBidi"/>
      <w:color w:val="001D38" w:themeColor="accent1" w:themeShade="7F"/>
    </w:rPr>
  </w:style>
  <w:style w:type="character" w:customStyle="1" w:styleId="Heading7Char">
    <w:name w:val="Heading 7 Char"/>
    <w:basedOn w:val="DefaultParagraphFont"/>
    <w:link w:val="Heading7"/>
    <w:uiPriority w:val="9"/>
    <w:semiHidden/>
    <w:rsid w:val="0020703F"/>
    <w:rPr>
      <w:rFonts w:ascii="Times New Roman" w:eastAsiaTheme="majorEastAsia" w:hAnsi="Times New Roman" w:cstheme="majorBidi"/>
      <w:i/>
      <w:iCs/>
      <w:color w:val="001D38" w:themeColor="accent1" w:themeShade="7F"/>
    </w:rPr>
  </w:style>
  <w:style w:type="character" w:customStyle="1" w:styleId="Heading8Char">
    <w:name w:val="Heading 8 Char"/>
    <w:basedOn w:val="DefaultParagraphFont"/>
    <w:link w:val="Heading8"/>
    <w:uiPriority w:val="9"/>
    <w:semiHidden/>
    <w:rsid w:val="0020703F"/>
    <w:rPr>
      <w:rFonts w:ascii="Times New Roman" w:eastAsiaTheme="majorEastAsia" w:hAnsi="Times New Roman"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703F"/>
    <w:rPr>
      <w:rFonts w:ascii="Times New Roman" w:eastAsiaTheme="majorEastAsia" w:hAnsi="Times New Roman"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20703F"/>
    <w:pPr>
      <w:keepNext/>
      <w:keepLines/>
      <w:spacing w:before="240"/>
      <w:outlineLvl w:val="9"/>
    </w:pPr>
    <w:rPr>
      <w:rFonts w:eastAsiaTheme="majorEastAsia" w:cs="Times New Roman (Headings CS)"/>
      <w:bCs w:val="0"/>
      <w:sz w:val="32"/>
      <w:szCs w:val="32"/>
    </w:rPr>
  </w:style>
  <w:style w:type="character" w:styleId="Hyperlink">
    <w:name w:val="Hyperlink"/>
    <w:basedOn w:val="DefaultParagraphFont"/>
    <w:uiPriority w:val="99"/>
    <w:unhideWhenUsed/>
    <w:rsid w:val="0020703F"/>
    <w:rPr>
      <w:rFonts w:ascii="Times New Roman" w:hAnsi="Times New Roman"/>
      <w:b w:val="0"/>
      <w:i w:val="0"/>
      <w:color w:val="003B71"/>
      <w:u w:val="single"/>
    </w:rPr>
  </w:style>
  <w:style w:type="character" w:styleId="FollowedHyperlink">
    <w:name w:val="FollowedHyperlink"/>
    <w:basedOn w:val="DefaultParagraphFont"/>
    <w:uiPriority w:val="99"/>
    <w:semiHidden/>
    <w:unhideWhenUsed/>
    <w:rsid w:val="0020703F"/>
    <w:rPr>
      <w:color w:val="BFBFBF" w:themeColor="accent3" w:themeShade="BF"/>
      <w:u w:val="single"/>
    </w:rPr>
  </w:style>
  <w:style w:type="paragraph" w:styleId="ListBullet">
    <w:name w:val="List Bullet"/>
    <w:basedOn w:val="Normal"/>
    <w:uiPriority w:val="99"/>
    <w:semiHidden/>
    <w:unhideWhenUsed/>
    <w:rsid w:val="0020703F"/>
    <w:pPr>
      <w:numPr>
        <w:numId w:val="2"/>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table" w:styleId="TableGrid">
    <w:name w:val="Table Grid"/>
    <w:basedOn w:val="TableNormal"/>
    <w:uiPriority w:val="39"/>
    <w:rsid w:val="00753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251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e.virginia.gov/support/facility_construction/literary_fund_loans/index.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theme/theme1.xml><?xml version="1.0" encoding="utf-8"?>
<a:theme xmlns:a="http://schemas.openxmlformats.org/drawingml/2006/main" name="BOE">
  <a:themeElements>
    <a:clrScheme name="BOE">
      <a:dk1>
        <a:sysClr val="windowText" lastClr="000000"/>
      </a:dk1>
      <a:lt1>
        <a:sysClr val="window" lastClr="FFFFFF"/>
      </a:lt1>
      <a:dk2>
        <a:srgbClr val="003C71"/>
      </a:dk2>
      <a:lt2>
        <a:srgbClr val="FFFFFF"/>
      </a:lt2>
      <a:accent1>
        <a:srgbClr val="003C71"/>
      </a:accent1>
      <a:accent2>
        <a:srgbClr val="007DBA"/>
      </a:accent2>
      <a:accent3>
        <a:srgbClr val="FFFFFF"/>
      </a:accent3>
      <a:accent4>
        <a:srgbClr val="D8D8D8"/>
      </a:accent4>
      <a:accent5>
        <a:srgbClr val="7F7F7F"/>
      </a:accent5>
      <a:accent6>
        <a:srgbClr val="3F3F3F"/>
      </a:accent6>
      <a:hlink>
        <a:srgbClr val="003C71"/>
      </a:hlink>
      <a:folHlink>
        <a:srgbClr val="000000"/>
      </a:folHlink>
    </a:clrScheme>
    <a:fontScheme name="BO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gKuzHmWgZ5yTIpqrn1btpo5QmQ==">AMUW2mW7oSXzCqpxINPu67X3AQUjr1piNAFzGE5CE5Z9UNS3ThKP5AjhPVZd9pWoUOXLcu87APoSrQLrK5LvsTlxaEaUXTlpKn36pagCUaGhBYxCDfhL95A6QRSM5q/t5iKqRqtISKfHxY3ZWB1eTwhJFteBHO3Msy0jQ6ERqx/DOhFOTQ9vjayCMl1+hs+pe8xk04NsoirddTa2pf3rE/EBxGWF7AE7cNkDSvoqN4hbWaJsHUY5+47gRY7mG4DkNJBgIKq997vZELAPUqsYzJC+y33U1IuaMk+LFDSkUiGr2Xkc4YoO184WhRNBbqKGe/HDvpiDRnKOwmO3M+aRYITVGp1d+VSDO/YHQi60nJqfYQpy8psmK10pQp14r0pOHMgosI1vd29dAGSXLjhca6+Oysfw/IQ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Nuthall</dc:creator>
  <cp:lastModifiedBy>Lanza, Edward (DOE)</cp:lastModifiedBy>
  <cp:revision>4</cp:revision>
  <dcterms:created xsi:type="dcterms:W3CDTF">2025-03-11T12:15:00Z</dcterms:created>
  <dcterms:modified xsi:type="dcterms:W3CDTF">2025-03-11T12:21:00Z</dcterms:modified>
</cp:coreProperties>
</file>