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C6F6B" w14:textId="2BA0E550" w:rsidR="00E53D4E" w:rsidRDefault="007B5BE3" w:rsidP="00984359">
      <w:pPr>
        <w:pStyle w:val="H1"/>
        <w:spacing w:after="0"/>
      </w:pPr>
      <w:r>
        <w:rPr>
          <w:noProof/>
        </w:rPr>
        <w:drawing>
          <wp:inline distT="0" distB="0" distL="0" distR="0" wp14:anchorId="4DACBDB9" wp14:editId="76F733BA">
            <wp:extent cx="4114800" cy="842743"/>
            <wp:effectExtent l="0" t="0" r="0" b="0"/>
            <wp:docPr id="1442392337" name="Picture 1" descr="Virginia Department of Education, Office of School and Community Nutrition Program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2392337" name="Picture 1" descr="Virginia Department of Education, Office of School and Community Nutrition Programs logo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8427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F71453" w14:textId="2DF7E537" w:rsidR="008E081B" w:rsidRPr="008E081B" w:rsidRDefault="008E081B" w:rsidP="008E081B">
      <w:pPr>
        <w:pStyle w:val="H1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>Federal Program Administrative Review School Nutrition Program Summary</w:t>
      </w:r>
    </w:p>
    <w:p w14:paraId="7F46444B" w14:textId="636E3938" w:rsidR="00BC7173" w:rsidRPr="008E081B" w:rsidRDefault="00BC7173" w:rsidP="006D6E87">
      <w:pPr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t xml:space="preserve">Section 207 of the Healthy Hunger Free Kids Act 2010, amended section 22 of the National School Lunch Act (42 U.S.C. 1769c) requires the Virginia Department of Education, Office of </w:t>
      </w:r>
      <w:proofErr w:type="gramStart"/>
      <w:r w:rsidRPr="008E081B">
        <w:rPr>
          <w:rFonts w:ascii="Times New Roman" w:hAnsi="Times New Roman" w:cs="Times New Roman"/>
        </w:rPr>
        <w:t>School</w:t>
      </w:r>
      <w:proofErr w:type="gramEnd"/>
      <w:r w:rsidRPr="008E081B">
        <w:rPr>
          <w:rFonts w:ascii="Times New Roman" w:hAnsi="Times New Roman" w:cs="Times New Roman"/>
        </w:rPr>
        <w:t xml:space="preserve"> </w:t>
      </w:r>
      <w:r w:rsidR="007B5BE3">
        <w:rPr>
          <w:rFonts w:ascii="Times New Roman" w:hAnsi="Times New Roman" w:cs="Times New Roman"/>
        </w:rPr>
        <w:t xml:space="preserve">and Community </w:t>
      </w:r>
      <w:r w:rsidRPr="008E081B">
        <w:rPr>
          <w:rFonts w:ascii="Times New Roman" w:hAnsi="Times New Roman" w:cs="Times New Roman"/>
        </w:rPr>
        <w:t>Nutrition Programs (VDOE</w:t>
      </w:r>
      <w:r w:rsidR="00DD1D55" w:rsidRPr="008E081B">
        <w:rPr>
          <w:rFonts w:ascii="Times New Roman" w:hAnsi="Times New Roman" w:cs="Times New Roman"/>
        </w:rPr>
        <w:t>-</w:t>
      </w:r>
      <w:r w:rsidRPr="008E081B">
        <w:rPr>
          <w:rFonts w:ascii="Times New Roman" w:hAnsi="Times New Roman" w:cs="Times New Roman"/>
        </w:rPr>
        <w:t>S</w:t>
      </w:r>
      <w:r w:rsidR="007B5BE3">
        <w:rPr>
          <w:rFonts w:ascii="Times New Roman" w:hAnsi="Times New Roman" w:cs="Times New Roman"/>
        </w:rPr>
        <w:t>C</w:t>
      </w:r>
      <w:r w:rsidRPr="008E081B">
        <w:rPr>
          <w:rFonts w:ascii="Times New Roman" w:hAnsi="Times New Roman" w:cs="Times New Roman"/>
        </w:rPr>
        <w:t xml:space="preserve">NP), to report the final results of the administrative review to the public in an accessible, easily understood manner in accordance with guidelines promulgated by the Secretary. </w:t>
      </w:r>
    </w:p>
    <w:p w14:paraId="43DFABC9" w14:textId="0723B398" w:rsidR="00BC7173" w:rsidRPr="008E081B" w:rsidRDefault="00BC7173" w:rsidP="009815C3">
      <w:pPr>
        <w:spacing w:before="240"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 xml:space="preserve">School Food Authority (SFA): </w:t>
      </w:r>
      <w:r w:rsidR="00786229">
        <w:rPr>
          <w:rFonts w:ascii="Times New Roman" w:hAnsi="Times New Roman" w:cs="Times New Roman"/>
          <w:color w:val="000000"/>
        </w:rPr>
        <w:t>St. Mary’s Home</w:t>
      </w:r>
    </w:p>
    <w:p w14:paraId="76CE184E" w14:textId="60CC2AC7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  <w:color w:val="000000"/>
        </w:rPr>
      </w:pPr>
      <w:r w:rsidRPr="008E081B">
        <w:rPr>
          <w:rFonts w:ascii="Times New Roman" w:hAnsi="Times New Roman" w:cs="Times New Roman"/>
          <w:b/>
        </w:rPr>
        <w:t>Date of Administrative Review:</w:t>
      </w:r>
      <w:r w:rsidRPr="008E081B">
        <w:rPr>
          <w:rFonts w:ascii="Times New Roman" w:hAnsi="Times New Roman" w:cs="Times New Roman"/>
        </w:rPr>
        <w:t xml:space="preserve"> </w:t>
      </w:r>
      <w:r w:rsidR="00786229">
        <w:rPr>
          <w:rFonts w:ascii="Times New Roman" w:hAnsi="Times New Roman" w:cs="Times New Roman"/>
          <w:color w:val="000000"/>
        </w:rPr>
        <w:t>April 16, 2024</w:t>
      </w:r>
    </w:p>
    <w:p w14:paraId="5B8763D1" w14:textId="71AEDBA0" w:rsidR="00BC7173" w:rsidRPr="00786229" w:rsidRDefault="00BC7173" w:rsidP="00BC7173">
      <w:pPr>
        <w:spacing w:after="240" w:line="240" w:lineRule="auto"/>
        <w:rPr>
          <w:rFonts w:ascii="Times New Roman" w:hAnsi="Times New Roman" w:cs="Times New Roman"/>
          <w:bCs/>
        </w:rPr>
      </w:pPr>
      <w:r w:rsidRPr="008E081B">
        <w:rPr>
          <w:rFonts w:ascii="Times New Roman" w:hAnsi="Times New Roman" w:cs="Times New Roman"/>
          <w:b/>
          <w:color w:val="000000"/>
        </w:rPr>
        <w:t xml:space="preserve">Review Month and Year: </w:t>
      </w:r>
      <w:r w:rsidR="00786229" w:rsidRPr="00786229">
        <w:rPr>
          <w:rFonts w:ascii="Times New Roman" w:hAnsi="Times New Roman" w:cs="Times New Roman"/>
          <w:bCs/>
          <w:color w:val="000000"/>
        </w:rPr>
        <w:t>February 2024</w:t>
      </w:r>
    </w:p>
    <w:p w14:paraId="740D2FF3" w14:textId="220995DD" w:rsidR="00BC7173" w:rsidRPr="008E081B" w:rsidRDefault="00BC7173" w:rsidP="00BC7173">
      <w:pPr>
        <w:pStyle w:val="BodyText"/>
        <w:spacing w:before="0" w:after="240" w:line="240" w:lineRule="auto"/>
        <w:rPr>
          <w:rFonts w:eastAsiaTheme="minorHAnsi"/>
          <w:szCs w:val="24"/>
        </w:rPr>
      </w:pPr>
      <w:r w:rsidRPr="008E081B">
        <w:rPr>
          <w:rFonts w:eastAsiaTheme="minorHAnsi"/>
          <w:b/>
          <w:szCs w:val="24"/>
        </w:rPr>
        <w:t>Date review results were provided to the SFA:</w:t>
      </w:r>
      <w:r w:rsidRPr="008E081B">
        <w:rPr>
          <w:rFonts w:eastAsiaTheme="minorHAnsi"/>
          <w:szCs w:val="24"/>
        </w:rPr>
        <w:t xml:space="preserve"> </w:t>
      </w:r>
      <w:r w:rsidR="00786229">
        <w:rPr>
          <w:color w:val="000000"/>
          <w:szCs w:val="24"/>
        </w:rPr>
        <w:t>May 16, 2024</w:t>
      </w:r>
    </w:p>
    <w:p w14:paraId="38F5741D" w14:textId="78B5DF41" w:rsidR="00BC7173" w:rsidRPr="008E081B" w:rsidRDefault="00BC7173" w:rsidP="00BC7173">
      <w:pPr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Date review summary was publicly posted:</w:t>
      </w:r>
      <w:r w:rsidRPr="008E081B">
        <w:rPr>
          <w:rFonts w:ascii="Times New Roman" w:hAnsi="Times New Roman" w:cs="Times New Roman"/>
        </w:rPr>
        <w:t xml:space="preserve"> </w:t>
      </w:r>
      <w:r w:rsidR="00E44930">
        <w:rPr>
          <w:rFonts w:ascii="Times New Roman" w:hAnsi="Times New Roman" w:cs="Times New Roman"/>
          <w:color w:val="000000"/>
        </w:rPr>
        <w:t>July 19, 2024</w:t>
      </w:r>
    </w:p>
    <w:p w14:paraId="3B7459AC" w14:textId="77777777" w:rsidR="00BC7173" w:rsidRPr="008E081B" w:rsidRDefault="00BC7173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after="240" w:line="240" w:lineRule="auto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participates in the following Child</w:t>
      </w:r>
      <w:r w:rsidRPr="008E081B">
        <w:rPr>
          <w:rFonts w:ascii="Times New Roman" w:hAnsi="Times New Roman" w:cs="Times New Roman"/>
        </w:rPr>
        <w:t xml:space="preserve"> </w:t>
      </w:r>
      <w:r w:rsidRPr="008E081B">
        <w:rPr>
          <w:rFonts w:ascii="Times New Roman" w:hAnsi="Times New Roman" w:cs="Times New Roman"/>
          <w:b/>
        </w:rPr>
        <w:t>Nutrition Programs:</w:t>
      </w:r>
      <w:r w:rsidRPr="008E081B">
        <w:rPr>
          <w:rFonts w:ascii="Times New Roman" w:hAnsi="Times New Roman" w:cs="Times New Roman"/>
        </w:rPr>
        <w:t xml:space="preserve">  </w:t>
      </w:r>
    </w:p>
    <w:p w14:paraId="79A0ECDA" w14:textId="4058E922" w:rsidR="00BC7173" w:rsidRPr="008E081B" w:rsidRDefault="00E35A9E" w:rsidP="00BC71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808"/>
        </w:tabs>
        <w:spacing w:before="120" w:after="0" w:line="240" w:lineRule="auto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209623630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86229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School Breakfast Program</w:t>
      </w:r>
    </w:p>
    <w:p w14:paraId="2DAB7171" w14:textId="18ACE341" w:rsidR="00BC7173" w:rsidRPr="008E081B" w:rsidRDefault="00E35A9E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-157465898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786229">
            <w:rPr>
              <w:rFonts w:ascii="MS Gothic" w:eastAsia="MS Gothic" w:hAnsi="MS Gothic" w:cs="Times New Roman" w:hint="eastAsia"/>
            </w:rPr>
            <w:t>☒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National School Lunch Program</w:t>
      </w:r>
    </w:p>
    <w:p w14:paraId="252BB479" w14:textId="77777777" w:rsidR="00BC7173" w:rsidRPr="008E081B" w:rsidRDefault="00E35A9E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6548018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Fresh Fruit &amp; Vegetable Program</w:t>
      </w:r>
    </w:p>
    <w:p w14:paraId="18B7572F" w14:textId="77777777" w:rsidR="00BC7173" w:rsidRPr="008E081B" w:rsidRDefault="00E35A9E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631468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Afterschool Snack</w:t>
      </w:r>
    </w:p>
    <w:p w14:paraId="4C9855A7" w14:textId="77777777" w:rsidR="00BC7173" w:rsidRPr="008E081B" w:rsidRDefault="00E35A9E" w:rsidP="00BC7173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638280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Seamless Summer Option</w:t>
      </w:r>
      <w:r w:rsidR="00BC7173" w:rsidRPr="008E081B">
        <w:rPr>
          <w:rFonts w:ascii="Times New Roman" w:hAnsi="Times New Roman" w:cs="Times New Roman"/>
        </w:rPr>
        <w:tab/>
      </w:r>
    </w:p>
    <w:p w14:paraId="0B1ACE9F" w14:textId="621599C1" w:rsidR="00BC7173" w:rsidRPr="008E081B" w:rsidRDefault="00BC7173" w:rsidP="00BC7173">
      <w:pPr>
        <w:spacing w:before="240" w:after="240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  <w:b/>
        </w:rPr>
        <w:t>SFA operates under the following Special Provisions:</w:t>
      </w:r>
    </w:p>
    <w:p w14:paraId="1E757345" w14:textId="77777777" w:rsidR="00BC7173" w:rsidRPr="008E081B" w:rsidRDefault="00E35A9E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851518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Community Eligibility Provision</w:t>
      </w:r>
    </w:p>
    <w:p w14:paraId="1AD3D8D0" w14:textId="77777777" w:rsidR="00BC7173" w:rsidRPr="008E081B" w:rsidRDefault="00E35A9E" w:rsidP="00BC7173">
      <w:pPr>
        <w:spacing w:after="0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039940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C7173" w:rsidRPr="008E081B">
            <w:rPr>
              <w:rFonts w:ascii="Segoe UI Symbol" w:eastAsia="MS Gothic" w:hAnsi="Segoe UI Symbol" w:cs="Segoe UI Symbol"/>
            </w:rPr>
            <w:t>☐</w:t>
          </w:r>
        </w:sdtContent>
      </w:sdt>
      <w:r w:rsidR="00BC7173" w:rsidRPr="008E081B">
        <w:rPr>
          <w:rFonts w:ascii="Times New Roman" w:hAnsi="Times New Roman" w:cs="Times New Roman"/>
        </w:rPr>
        <w:t xml:space="preserve">  Provision 2</w:t>
      </w:r>
    </w:p>
    <w:p w14:paraId="5CCBE5E3" w14:textId="77777777" w:rsidR="00BC7173" w:rsidRPr="008E081B" w:rsidRDefault="00BC7173" w:rsidP="008E081B">
      <w:pPr>
        <w:pStyle w:val="H2"/>
        <w:rPr>
          <w:rFonts w:ascii="Times New Roman" w:hAnsi="Times New Roman" w:cs="Times New Roman"/>
        </w:rPr>
      </w:pPr>
      <w:r w:rsidRPr="008E081B">
        <w:rPr>
          <w:rFonts w:ascii="Times New Roman" w:hAnsi="Times New Roman" w:cs="Times New Roman"/>
        </w:rPr>
        <w:lastRenderedPageBreak/>
        <w:t>Review Findings</w:t>
      </w: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  <w:tblCaption w:val="Review Findings"/>
        <w:tblDescription w:val="Administrative review findings"/>
      </w:tblPr>
      <w:tblGrid>
        <w:gridCol w:w="5125"/>
        <w:gridCol w:w="4225"/>
      </w:tblGrid>
      <w:tr w:rsidR="00BC7173" w:rsidRPr="008E081B" w14:paraId="07A3EF3F" w14:textId="77777777" w:rsidTr="004A6F0C">
        <w:trPr>
          <w:tblHeader/>
        </w:trPr>
        <w:tc>
          <w:tcPr>
            <w:tcW w:w="5125" w:type="dxa"/>
            <w:shd w:val="clear" w:color="auto" w:fill="F2F2F2" w:themeFill="background1" w:themeFillShade="F2"/>
          </w:tcPr>
          <w:p w14:paraId="153F14B4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Review Area</w:t>
            </w:r>
          </w:p>
        </w:tc>
        <w:tc>
          <w:tcPr>
            <w:tcW w:w="4225" w:type="dxa"/>
            <w:shd w:val="clear" w:color="auto" w:fill="F2F2F2" w:themeFill="background1" w:themeFillShade="F2"/>
          </w:tcPr>
          <w:p w14:paraId="3009EBB3" w14:textId="77777777" w:rsidR="00BC7173" w:rsidRPr="008E081B" w:rsidRDefault="00BC7173" w:rsidP="004A6F0C">
            <w:pPr>
              <w:pStyle w:val="Heading4"/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Details</w:t>
            </w:r>
          </w:p>
        </w:tc>
      </w:tr>
      <w:tr w:rsidR="00BC7173" w:rsidRPr="008E081B" w14:paraId="1DDBD5ED" w14:textId="77777777" w:rsidTr="004A6F0C">
        <w:tc>
          <w:tcPr>
            <w:tcW w:w="5125" w:type="dxa"/>
          </w:tcPr>
          <w:p w14:paraId="371E06B9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Program Access and Reimbursement</w:t>
            </w:r>
          </w:p>
          <w:p w14:paraId="15F4C1F3" w14:textId="77777777" w:rsidR="00BC7173" w:rsidRPr="008E081B" w:rsidRDefault="00E35A9E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638062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Certification and Benefit Issuance</w:t>
            </w:r>
          </w:p>
          <w:p w14:paraId="69C1397A" w14:textId="77777777" w:rsidR="00BC7173" w:rsidRPr="008E081B" w:rsidRDefault="00E35A9E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542064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Verification</w:t>
            </w:r>
          </w:p>
          <w:p w14:paraId="34C6F1FC" w14:textId="2A82E74D" w:rsidR="00BC7173" w:rsidRPr="008E081B" w:rsidRDefault="00E35A9E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584601276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229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Counting and Claiming</w:t>
            </w:r>
          </w:p>
        </w:tc>
        <w:tc>
          <w:tcPr>
            <w:tcW w:w="4225" w:type="dxa"/>
          </w:tcPr>
          <w:p w14:paraId="4F3E2344" w14:textId="0AE4B72E" w:rsidR="00BC7173" w:rsidRPr="008E081B" w:rsidRDefault="00E44930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Meal count consolidation errors were observed.</w:t>
            </w:r>
          </w:p>
        </w:tc>
      </w:tr>
      <w:tr w:rsidR="00BC7173" w:rsidRPr="008E081B" w14:paraId="3ACD08FC" w14:textId="77777777" w:rsidTr="004A6F0C">
        <w:tc>
          <w:tcPr>
            <w:tcW w:w="5125" w:type="dxa"/>
          </w:tcPr>
          <w:p w14:paraId="15AA9FFF" w14:textId="77777777" w:rsidR="00BC7173" w:rsidRPr="008E081B" w:rsidRDefault="00BC7173" w:rsidP="004A6F0C">
            <w:pPr>
              <w:pStyle w:val="Heading4"/>
              <w:tabs>
                <w:tab w:val="left" w:pos="792"/>
              </w:tabs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bCs/>
                <w:i w:val="0"/>
                <w:iCs w:val="0"/>
                <w:color w:val="auto"/>
                <w:sz w:val="24"/>
                <w:szCs w:val="24"/>
              </w:rPr>
              <w:t>Meal Patterns and Nutritional Quality</w:t>
            </w:r>
          </w:p>
          <w:p w14:paraId="4DC8A445" w14:textId="077D44F2" w:rsidR="00BC7173" w:rsidRPr="008E081B" w:rsidRDefault="00E35A9E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59266443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44930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Meal Components and Quantities</w:t>
            </w:r>
          </w:p>
          <w:p w14:paraId="2552D278" w14:textId="77777777" w:rsidR="00BC7173" w:rsidRPr="008E081B" w:rsidRDefault="00E35A9E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248966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Offer versus Serve</w:t>
            </w:r>
          </w:p>
          <w:p w14:paraId="7561128B" w14:textId="77777777" w:rsidR="00BC7173" w:rsidRPr="008E081B" w:rsidRDefault="00E35A9E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654179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Dietary Specifications and Nutrient Analysis</w:t>
            </w:r>
          </w:p>
        </w:tc>
        <w:tc>
          <w:tcPr>
            <w:tcW w:w="4225" w:type="dxa"/>
          </w:tcPr>
          <w:p w14:paraId="28114D3E" w14:textId="3708A8A3" w:rsidR="00BC7173" w:rsidRPr="008E081B" w:rsidRDefault="00E44930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Meal contribution information was missing for food items served.</w:t>
            </w:r>
          </w:p>
        </w:tc>
      </w:tr>
      <w:tr w:rsidR="00BC7173" w:rsidRPr="008E081B" w14:paraId="4BAB8DF3" w14:textId="77777777" w:rsidTr="004A6F0C">
        <w:tc>
          <w:tcPr>
            <w:tcW w:w="5125" w:type="dxa"/>
          </w:tcPr>
          <w:p w14:paraId="66DE6DA2" w14:textId="77777777" w:rsidR="00BC7173" w:rsidRPr="008E081B" w:rsidRDefault="00BC7173" w:rsidP="004A6F0C">
            <w:pPr>
              <w:pStyle w:val="Heading3"/>
              <w:spacing w:before="0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8E081B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School Nutrition Environment and Civil Rights</w:t>
            </w:r>
          </w:p>
          <w:p w14:paraId="320FCCE1" w14:textId="306CB99E" w:rsidR="00352648" w:rsidRDefault="00E35A9E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26813011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229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Food Safety</w:t>
            </w:r>
          </w:p>
          <w:p w14:paraId="105FCD2D" w14:textId="18ACC22D" w:rsidR="00352648" w:rsidRPr="008E081B" w:rsidRDefault="00E35A9E" w:rsidP="00352648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16619184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229">
                  <w:rPr>
                    <w:rFonts w:ascii="MS Gothic" w:eastAsia="MS Gothic" w:hAnsi="MS Gothic" w:cs="Times New Roman" w:hint="eastAsia"/>
                  </w:rPr>
                  <w:t>☒</w:t>
                </w:r>
              </w:sdtContent>
            </w:sdt>
            <w:r w:rsidR="00352648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352648">
              <w:rPr>
                <w:rFonts w:ascii="Times New Roman" w:hAnsi="Times New Roman" w:cs="Times New Roman"/>
                <w:sz w:val="24"/>
                <w:szCs w:val="24"/>
              </w:rPr>
              <w:t>Buy American</w:t>
            </w:r>
          </w:p>
          <w:p w14:paraId="49B13F44" w14:textId="75127C0B" w:rsidR="00BC7173" w:rsidRPr="008E081B" w:rsidRDefault="00E35A9E" w:rsidP="004A6F0C">
            <w:pPr>
              <w:tabs>
                <w:tab w:val="left" w:pos="7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-7248429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52648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Local Wellness Policy</w:t>
            </w:r>
          </w:p>
          <w:p w14:paraId="2FD4DE42" w14:textId="77777777" w:rsidR="00BC7173" w:rsidRPr="008E081B" w:rsidRDefault="00E35A9E" w:rsidP="004A6F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973840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C7173" w:rsidRPr="008E081B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Smart Snacks and Competitive Foods</w:t>
            </w:r>
          </w:p>
          <w:p w14:paraId="145F598E" w14:textId="10ACEA08" w:rsidR="00786229" w:rsidRPr="00786229" w:rsidRDefault="00E35A9E" w:rsidP="007862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</w:rPr>
                <w:id w:val="1411598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6229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BC7173" w:rsidRPr="008E081B">
              <w:rPr>
                <w:rFonts w:ascii="Times New Roman" w:hAnsi="Times New Roman" w:cs="Times New Roman"/>
                <w:sz w:val="24"/>
                <w:szCs w:val="24"/>
              </w:rPr>
              <w:t xml:space="preserve">     Civil Rights</w:t>
            </w:r>
          </w:p>
        </w:tc>
        <w:tc>
          <w:tcPr>
            <w:tcW w:w="4225" w:type="dxa"/>
          </w:tcPr>
          <w:p w14:paraId="1678F12C" w14:textId="0FDF97A8" w:rsidR="00E44930" w:rsidRDefault="00E44930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 c</w:t>
            </w:r>
            <w:r w:rsidR="00786229">
              <w:rPr>
                <w:rFonts w:ascii="Times New Roman" w:hAnsi="Times New Roman" w:cs="Times New Roman"/>
              </w:rPr>
              <w:t>ivil rights complaint procedure did not meet requirements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14:paraId="46D7D52C" w14:textId="77BDAF6B" w:rsidR="00BC7173" w:rsidRDefault="00E44930" w:rsidP="004A6F0C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The incorrect </w:t>
            </w:r>
            <w:r w:rsidR="00786229">
              <w:rPr>
                <w:rFonts w:ascii="Times New Roman" w:hAnsi="Times New Roman" w:cs="Times New Roman"/>
              </w:rPr>
              <w:t xml:space="preserve">nondiscrimination statement was </w:t>
            </w:r>
            <w:r>
              <w:rPr>
                <w:rFonts w:ascii="Times New Roman" w:hAnsi="Times New Roman" w:cs="Times New Roman"/>
              </w:rPr>
              <w:t>used on program materials.</w:t>
            </w:r>
            <w:r w:rsidR="00786229">
              <w:rPr>
                <w:rFonts w:ascii="Times New Roman" w:hAnsi="Times New Roman" w:cs="Times New Roman"/>
              </w:rPr>
              <w:t xml:space="preserve"> </w:t>
            </w:r>
          </w:p>
          <w:p w14:paraId="28FB4C51" w14:textId="5259FBAA" w:rsidR="00786229" w:rsidRPr="008E081B" w:rsidRDefault="00E44930" w:rsidP="004A6F0C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Violations of the Buy American Provision were observed.</w:t>
            </w:r>
            <w:r w:rsidR="00786229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14:paraId="744115A8" w14:textId="2D3FE42B" w:rsidR="008B29EA" w:rsidRPr="008E081B" w:rsidRDefault="00BC7173" w:rsidP="00BC7173">
      <w:pPr>
        <w:pStyle w:val="BodyText"/>
        <w:spacing w:before="6000" w:after="120" w:line="240" w:lineRule="auto"/>
        <w:jc w:val="center"/>
      </w:pPr>
      <w:r w:rsidRPr="008E081B">
        <w:rPr>
          <w:rFonts w:eastAsiaTheme="minorHAnsi"/>
          <w:szCs w:val="24"/>
        </w:rPr>
        <w:lastRenderedPageBreak/>
        <w:t>USDA is an equal opportunity provider, employer, and lender.</w:t>
      </w:r>
    </w:p>
    <w:sectPr w:rsidR="008B29EA" w:rsidRPr="008E08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FD22C7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78A30E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7B8C0F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74AC4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35A5E1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E34F7F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06A3DC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3E8F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08D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ED62D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AD478F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352C05DD"/>
    <w:multiLevelType w:val="hybridMultilevel"/>
    <w:tmpl w:val="3F7CE464"/>
    <w:lvl w:ilvl="0" w:tplc="EA16E770">
      <w:start w:val="1"/>
      <w:numFmt w:val="decimal"/>
      <w:pStyle w:val="ListNumbered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397733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F755853"/>
    <w:multiLevelType w:val="hybridMultilevel"/>
    <w:tmpl w:val="781C6B92"/>
    <w:lvl w:ilvl="0" w:tplc="5F14F7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0F31FD"/>
    <w:multiLevelType w:val="hybridMultilevel"/>
    <w:tmpl w:val="DD801DA8"/>
    <w:lvl w:ilvl="0" w:tplc="D6AE52E6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A6300B9"/>
    <w:multiLevelType w:val="hybridMultilevel"/>
    <w:tmpl w:val="C506241E"/>
    <w:lvl w:ilvl="0" w:tplc="F5183BD6">
      <w:start w:val="1"/>
      <w:numFmt w:val="bullet"/>
      <w:pStyle w:val="ListBulleted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2135444578">
    <w:abstractNumId w:val="14"/>
  </w:num>
  <w:num w:numId="2" w16cid:durableId="482966766">
    <w:abstractNumId w:val="13"/>
  </w:num>
  <w:num w:numId="3" w16cid:durableId="139662502">
    <w:abstractNumId w:val="12"/>
  </w:num>
  <w:num w:numId="4" w16cid:durableId="2130010034">
    <w:abstractNumId w:val="9"/>
  </w:num>
  <w:num w:numId="5" w16cid:durableId="525414381">
    <w:abstractNumId w:val="8"/>
  </w:num>
  <w:num w:numId="6" w16cid:durableId="1769155378">
    <w:abstractNumId w:val="7"/>
  </w:num>
  <w:num w:numId="7" w16cid:durableId="1336807434">
    <w:abstractNumId w:val="6"/>
  </w:num>
  <w:num w:numId="8" w16cid:durableId="414665000">
    <w:abstractNumId w:val="5"/>
  </w:num>
  <w:num w:numId="9" w16cid:durableId="490487360">
    <w:abstractNumId w:val="4"/>
  </w:num>
  <w:num w:numId="10" w16cid:durableId="359555331">
    <w:abstractNumId w:val="3"/>
  </w:num>
  <w:num w:numId="11" w16cid:durableId="735586531">
    <w:abstractNumId w:val="2"/>
  </w:num>
  <w:num w:numId="12" w16cid:durableId="590046957">
    <w:abstractNumId w:val="1"/>
  </w:num>
  <w:num w:numId="13" w16cid:durableId="1102452677">
    <w:abstractNumId w:val="0"/>
  </w:num>
  <w:num w:numId="14" w16cid:durableId="1244337765">
    <w:abstractNumId w:val="10"/>
  </w:num>
  <w:num w:numId="15" w16cid:durableId="95836113">
    <w:abstractNumId w:val="11"/>
  </w:num>
  <w:num w:numId="16" w16cid:durableId="92865516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39C1"/>
    <w:rsid w:val="00002805"/>
    <w:rsid w:val="00003DC2"/>
    <w:rsid w:val="000055CD"/>
    <w:rsid w:val="00045ECA"/>
    <w:rsid w:val="00060DC6"/>
    <w:rsid w:val="00085B2F"/>
    <w:rsid w:val="000F44EF"/>
    <w:rsid w:val="001401ED"/>
    <w:rsid w:val="00160938"/>
    <w:rsid w:val="001A76E8"/>
    <w:rsid w:val="001F5385"/>
    <w:rsid w:val="0024008D"/>
    <w:rsid w:val="002675CC"/>
    <w:rsid w:val="002847ED"/>
    <w:rsid w:val="002C3DB3"/>
    <w:rsid w:val="002E4000"/>
    <w:rsid w:val="00352648"/>
    <w:rsid w:val="00456171"/>
    <w:rsid w:val="00480AC3"/>
    <w:rsid w:val="004D39C1"/>
    <w:rsid w:val="006C5F3F"/>
    <w:rsid w:val="006D6360"/>
    <w:rsid w:val="006D6E87"/>
    <w:rsid w:val="007039F8"/>
    <w:rsid w:val="007716EB"/>
    <w:rsid w:val="00783C45"/>
    <w:rsid w:val="00786229"/>
    <w:rsid w:val="007B5BE3"/>
    <w:rsid w:val="007F191A"/>
    <w:rsid w:val="008B29EA"/>
    <w:rsid w:val="008E081B"/>
    <w:rsid w:val="00906197"/>
    <w:rsid w:val="009129BB"/>
    <w:rsid w:val="009274DA"/>
    <w:rsid w:val="00972729"/>
    <w:rsid w:val="009815C3"/>
    <w:rsid w:val="00984359"/>
    <w:rsid w:val="009A47AF"/>
    <w:rsid w:val="009D0C8E"/>
    <w:rsid w:val="00A55EB7"/>
    <w:rsid w:val="00AD701B"/>
    <w:rsid w:val="00AE55AD"/>
    <w:rsid w:val="00BA5339"/>
    <w:rsid w:val="00BC7173"/>
    <w:rsid w:val="00C60D08"/>
    <w:rsid w:val="00C87156"/>
    <w:rsid w:val="00CF51CB"/>
    <w:rsid w:val="00D3454B"/>
    <w:rsid w:val="00DD06E8"/>
    <w:rsid w:val="00DD1D55"/>
    <w:rsid w:val="00E35A9E"/>
    <w:rsid w:val="00E44930"/>
    <w:rsid w:val="00E53D4E"/>
    <w:rsid w:val="00E61FD4"/>
    <w:rsid w:val="00E908E3"/>
    <w:rsid w:val="00EE5B7F"/>
    <w:rsid w:val="00EE7A70"/>
    <w:rsid w:val="00EF3DDB"/>
    <w:rsid w:val="00F57F1E"/>
    <w:rsid w:val="00F9348B"/>
    <w:rsid w:val="00FC20C2"/>
    <w:rsid w:val="00FC7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988B3E"/>
  <w15:chartTrackingRefBased/>
  <w15:docId w15:val="{EB54F215-F184-47E1-A61C-D599F7CF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12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CB"/>
    <w:pPr>
      <w:spacing w:line="276" w:lineRule="auto"/>
      <w:jc w:val="left"/>
    </w:pPr>
    <w:rPr>
      <w:rFonts w:ascii="Calibri" w:hAnsi="Calibri"/>
    </w:rPr>
  </w:style>
  <w:style w:type="paragraph" w:styleId="Heading1">
    <w:name w:val="heading 1"/>
    <w:basedOn w:val="Normal"/>
    <w:next w:val="Normal"/>
    <w:link w:val="Heading1Char"/>
    <w:uiPriority w:val="9"/>
    <w:rsid w:val="009129B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9129B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29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619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A76E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715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Numbered">
    <w:name w:val="List Numbered"/>
    <w:basedOn w:val="Normal"/>
    <w:qFormat/>
    <w:rsid w:val="00E908E3"/>
    <w:pPr>
      <w:numPr>
        <w:numId w:val="15"/>
      </w:numPr>
      <w:spacing w:after="0"/>
    </w:pPr>
  </w:style>
  <w:style w:type="paragraph" w:customStyle="1" w:styleId="ListBulleted">
    <w:name w:val="List Bulleted"/>
    <w:basedOn w:val="Normal"/>
    <w:qFormat/>
    <w:rsid w:val="00E908E3"/>
    <w:pPr>
      <w:numPr>
        <w:numId w:val="16"/>
      </w:numPr>
      <w:spacing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9129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29B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29B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619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H1">
    <w:name w:val="H1"/>
    <w:basedOn w:val="Heading1"/>
    <w:qFormat/>
    <w:rsid w:val="00CF51CB"/>
    <w:pPr>
      <w:spacing w:before="0" w:after="480"/>
      <w:jc w:val="center"/>
    </w:pPr>
    <w:rPr>
      <w:rFonts w:ascii="Georgia" w:hAnsi="Georgia"/>
      <w:b/>
      <w:color w:val="auto"/>
      <w:sz w:val="4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A76E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H2">
    <w:name w:val="H2"/>
    <w:basedOn w:val="Heading2"/>
    <w:qFormat/>
    <w:rsid w:val="00CF51CB"/>
    <w:pPr>
      <w:spacing w:before="240" w:after="240"/>
    </w:pPr>
    <w:rPr>
      <w:rFonts w:ascii="Georgia" w:hAnsi="Georgia"/>
      <w:b/>
      <w:color w:val="auto"/>
      <w:sz w:val="32"/>
    </w:rPr>
  </w:style>
  <w:style w:type="paragraph" w:customStyle="1" w:styleId="H3">
    <w:name w:val="H3"/>
    <w:basedOn w:val="Heading3"/>
    <w:qFormat/>
    <w:rsid w:val="00CF51CB"/>
    <w:pPr>
      <w:spacing w:before="240" w:after="240"/>
    </w:pPr>
    <w:rPr>
      <w:rFonts w:ascii="Georgia" w:hAnsi="Georgia"/>
      <w:b/>
      <w:color w:val="auto"/>
      <w:sz w:val="28"/>
    </w:rPr>
  </w:style>
  <w:style w:type="paragraph" w:customStyle="1" w:styleId="H4">
    <w:name w:val="H4"/>
    <w:basedOn w:val="Heading4"/>
    <w:qFormat/>
    <w:rsid w:val="00CF51CB"/>
    <w:pPr>
      <w:spacing w:before="240" w:after="240"/>
    </w:pPr>
    <w:rPr>
      <w:rFonts w:ascii="Georgia" w:hAnsi="Georgia"/>
      <w:b/>
      <w:i w:val="0"/>
      <w:color w:val="auto"/>
    </w:rPr>
  </w:style>
  <w:style w:type="paragraph" w:customStyle="1" w:styleId="H5">
    <w:name w:val="H5"/>
    <w:basedOn w:val="Heading5"/>
    <w:qFormat/>
    <w:rsid w:val="00CF51CB"/>
    <w:pPr>
      <w:spacing w:before="240" w:after="240"/>
    </w:pPr>
    <w:rPr>
      <w:rFonts w:ascii="Georgia" w:hAnsi="Georgia"/>
      <w:b/>
      <w:i/>
      <w:color w:val="auto"/>
    </w:rPr>
  </w:style>
  <w:style w:type="paragraph" w:customStyle="1" w:styleId="H6">
    <w:name w:val="H6"/>
    <w:basedOn w:val="Heading6"/>
    <w:qFormat/>
    <w:rsid w:val="00CF51CB"/>
    <w:pPr>
      <w:spacing w:before="240" w:after="240"/>
    </w:pPr>
    <w:rPr>
      <w:rFonts w:ascii="Georgia" w:hAnsi="Georgia"/>
      <w:b/>
      <w:color w:val="auto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7156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BodyText">
    <w:name w:val="Body Text"/>
    <w:basedOn w:val="Normal"/>
    <w:link w:val="BodyTextChar"/>
    <w:uiPriority w:val="99"/>
    <w:unhideWhenUsed/>
    <w:rsid w:val="00BC7173"/>
    <w:pPr>
      <w:spacing w:before="120" w:after="360"/>
    </w:pPr>
    <w:rPr>
      <w:rFonts w:ascii="Times New Roman" w:eastAsia="Calibri" w:hAnsi="Times New Roman" w:cs="Times New Roman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BC7173"/>
    <w:rPr>
      <w:rFonts w:eastAsia="Calibri" w:cs="Times New Roman"/>
      <w:szCs w:val="22"/>
    </w:rPr>
  </w:style>
  <w:style w:type="table" w:styleId="TableGrid">
    <w:name w:val="Table Grid"/>
    <w:basedOn w:val="TableNormal"/>
    <w:uiPriority w:val="39"/>
    <w:rsid w:val="00BC7173"/>
    <w:pPr>
      <w:spacing w:after="0"/>
      <w:jc w:val="left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76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Federal Program Administrative Review School Nutrition Program Summary</vt:lpstr>
    </vt:vector>
  </TitlesOfParts>
  <Company>Virginia IT Infrastructure Partnership</Company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Mary’s Home Federal Program Administrative Review School Nutrition Program Summary</dc:title>
  <dc:subject/>
  <dc:creator>DOE - NUTRITION (DOE)</dc:creator>
  <cp:keywords/>
  <dc:description/>
  <cp:lastModifiedBy>Christmas, Crystal (DOE)</cp:lastModifiedBy>
  <cp:revision>2</cp:revision>
  <dcterms:created xsi:type="dcterms:W3CDTF">2024-07-19T15:16:00Z</dcterms:created>
  <dcterms:modified xsi:type="dcterms:W3CDTF">2024-07-19T15:16:00Z</dcterms:modified>
</cp:coreProperties>
</file>